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1E" w:rsidRPr="0006441E" w:rsidRDefault="0006441E" w:rsidP="0006441E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6441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Вопрос №1: </w:t>
      </w:r>
      <w:r w:rsidRPr="0006441E">
        <w:rPr>
          <w:rFonts w:ascii="Times New Roman" w:eastAsia="Times New Roman" w:hAnsi="Times New Roman" w:cs="Times New Roman"/>
          <w:sz w:val="20"/>
          <w:szCs w:val="20"/>
          <w:lang w:eastAsia="ru-RU"/>
        </w:rPr>
        <w:t>О заключении сделки, в совершении которой имеется заинтересованность - договора поручительства (с юридическим лицом) № ДП-ЦН-724000/2015/00021 от 29.06.2015 г. между Обществом и «Банк ВТБ» (Открытое акционерное общество), (далее – Банк) в качестве обеспечения исполнения ОАО «Нижегородская сбытовая компания» своих обязательств по Кредитному соглашению № КС-ЦН-724000/2015/00021 от 29.06.2015 г.</w:t>
      </w:r>
    </w:p>
    <w:p w:rsidR="0006441E" w:rsidRPr="0006441E" w:rsidRDefault="0006441E" w:rsidP="0006441E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Проект р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ешени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я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 xml:space="preserve"> по вопросу №1:</w:t>
      </w:r>
      <w:r w:rsidRPr="0006441E"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  <w:t xml:space="preserve"> </w:t>
      </w:r>
    </w:p>
    <w:p w:rsidR="0006441E" w:rsidRPr="0006441E" w:rsidRDefault="0006441E" w:rsidP="0006441E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441E">
        <w:rPr>
          <w:rFonts w:ascii="Times New Roman" w:eastAsia="Times New Roman" w:hAnsi="Times New Roman" w:cs="Times New Roman"/>
          <w:sz w:val="20"/>
          <w:szCs w:val="20"/>
          <w:lang w:eastAsia="ru-RU"/>
        </w:rPr>
        <w:t>Заключить сделку, в совершении которой имеется заинтересованность:</w:t>
      </w:r>
    </w:p>
    <w:p w:rsidR="0006441E" w:rsidRPr="0006441E" w:rsidRDefault="0006441E" w:rsidP="0006441E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Договора поручительства (с юридическим лицом) № ДП-ЦН-724000/2015/00021 от 29.06.2015 г. </w:t>
      </w:r>
      <w:r w:rsidRPr="0006441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>в пользу ОАО «Нижегородская сбытовая компания»,</w:t>
      </w:r>
      <w:r w:rsidRPr="0006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(далее  - Заемщик) </w:t>
      </w: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 качестве обеспечения исполнения своих обязательств по </w:t>
      </w:r>
      <w:r w:rsidRPr="0006441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Соглашению о кредитовании № </w:t>
      </w: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КС-ЦН-724000/2015/00021</w:t>
      </w:r>
      <w:r w:rsidRPr="0006441E"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  <w:t xml:space="preserve"> от </w:t>
      </w: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29.06.2015 г. (далее - Основной договор) между Банком и Заемщиком на следующих условиях:</w:t>
      </w:r>
    </w:p>
    <w:p w:rsidR="0006441E" w:rsidRPr="0006441E" w:rsidRDefault="0006441E" w:rsidP="0006441E">
      <w:pPr>
        <w:widowControl w:val="0"/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441E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обязательств Заемщика по Основному договору (</w:t>
      </w: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в случае если какой-либо термин не определен в настоящем решении, указанные с заглавной буквы термины имеют значение, данное им в Основном договоре</w:t>
      </w:r>
      <w:r w:rsidRPr="0006441E">
        <w:rPr>
          <w:rFonts w:ascii="Times New Roman" w:eastAsia="Times New Roman" w:hAnsi="Times New Roman" w:cs="Times New Roman"/>
          <w:sz w:val="20"/>
          <w:szCs w:val="20"/>
          <w:lang w:eastAsia="ru-RU"/>
        </w:rPr>
        <w:t>):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6980"/>
      </w:tblGrid>
      <w:tr w:rsidR="0006441E" w:rsidRPr="0006441E" w:rsidTr="0006441E">
        <w:trPr>
          <w:trHeight w:val="12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tabs>
                <w:tab w:val="left" w:pos="23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Кредитор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«Банк ВТБ», (открытое акционерное общество) </w:t>
            </w:r>
          </w:p>
        </w:tc>
      </w:tr>
      <w:tr w:rsidR="0006441E" w:rsidRPr="0006441E" w:rsidTr="0006441E">
        <w:trPr>
          <w:trHeight w:val="12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tabs>
                <w:tab w:val="left" w:pos="23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Заемщик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ОАО «Нижегородская сбытовая компания»</w:t>
            </w:r>
          </w:p>
        </w:tc>
      </w:tr>
      <w:tr w:rsidR="0006441E" w:rsidRPr="0006441E" w:rsidTr="0006441E">
        <w:trPr>
          <w:trHeight w:val="12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tabs>
                <w:tab w:val="left" w:pos="2325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Максимальный объем задолженности по кредитам с единовременной выдачей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3 800 000 000,00 рублей.</w:t>
            </w:r>
          </w:p>
        </w:tc>
      </w:tr>
      <w:tr w:rsidR="0006441E" w:rsidRPr="0006441E" w:rsidTr="0006441E">
        <w:trPr>
          <w:trHeight w:val="13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8064A2"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Вся ссудная задолженность по кредитам, выданным в рамках Основного договора  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Должна быть погашена в полном объеме не позднее окончательной даты возврата «28» июня 2016 г.</w:t>
            </w:r>
          </w:p>
        </w:tc>
      </w:tr>
      <w:tr w:rsidR="0006441E" w:rsidRPr="0006441E" w:rsidTr="0006441E">
        <w:trPr>
          <w:trHeight w:val="234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8064A2"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Процентная ставка:</w:t>
            </w:r>
          </w:p>
        </w:tc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41E" w:rsidRPr="0006441E" w:rsidRDefault="0006441E" w:rsidP="0006441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4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более 20 % годовых. </w:t>
            </w:r>
          </w:p>
        </w:tc>
      </w:tr>
    </w:tbl>
    <w:p w:rsidR="0006441E" w:rsidRDefault="0006441E" w:rsidP="0006441E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441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Обязательства Общества по Договору поручительства:</w:t>
      </w: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06441E" w:rsidRPr="0006441E" w:rsidRDefault="0006441E" w:rsidP="0006441E">
      <w:pPr>
        <w:widowControl w:val="0"/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Общество в качестве поручителя принимает на себя обязательство поручиться за исполнение всех обязательств Заемщика по Основному договору (включая возврат Кредитов, уплату процентов за пользование Кредитами, уплату неустоек в случаях, предусмотренных Основным договором), а также компенсировать Банку любые убытки, возникшие у Банка или понесенные им по причине того, что Заемщик не исполняет какое-либо обязательство по Основному договору, и уплачивать все иные</w:t>
      </w:r>
      <w:proofErr w:type="gramEnd"/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платежи, причитающиеся с Заемщика в соответствии с Основным договором.</w:t>
      </w:r>
    </w:p>
    <w:p w:rsidR="0006441E" w:rsidRPr="0006441E" w:rsidRDefault="0006441E" w:rsidP="0006441E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Договором поручительства</w:t>
      </w:r>
      <w:r w:rsidRPr="0006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также предусмотрено положение о том, что Общество обязуется отвечать перед Банком солидарно с Заемщиком по требованию Банка о возврате полученного (о возмещении в деньгах стоимости полученного) по Основному договору при его недействительности или возврате неосновательного обогащения при признании Основного договора незаключенным.</w:t>
      </w:r>
    </w:p>
    <w:p w:rsidR="0006441E" w:rsidRPr="0006441E" w:rsidRDefault="0006441E" w:rsidP="000644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06441E">
        <w:rPr>
          <w:rFonts w:ascii="Times New Roman" w:eastAsia="Calibri" w:hAnsi="Times New Roman" w:cs="Times New Roman"/>
          <w:sz w:val="20"/>
          <w:szCs w:val="20"/>
        </w:rPr>
        <w:t>В случае неисполнения или ненадлежащего исполнения Поручителем обязательств по Договору поручительства, Поручитель обязан уплатить Банку неустойку в размере 1/365(366) (одна триста шестьдесят пятая (триста шестьдесят шестая)) от процентной ставки от суммы неисполненного или ненадлежащим образом исполненного обязательства за каждый день просрочки.</w:t>
      </w:r>
    </w:p>
    <w:p w:rsidR="0006441E" w:rsidRPr="0006441E" w:rsidRDefault="0006441E" w:rsidP="0006441E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Срок действия поручительства:  вступает в силу </w:t>
      </w:r>
      <w:proofErr w:type="gramStart"/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 даты подписания</w:t>
      </w:r>
      <w:proofErr w:type="gramEnd"/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Договора поручительства и действует до «28» июня 2019 г.</w:t>
      </w:r>
    </w:p>
    <w:p w:rsidR="0006441E" w:rsidRPr="0006441E" w:rsidRDefault="0006441E" w:rsidP="0006441E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06441E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Применимое право: Договор поручительства </w:t>
      </w:r>
      <w:r w:rsidRPr="0006441E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регулируется и подлежит толкованию в соответствии с российским правом.</w:t>
      </w:r>
    </w:p>
    <w:p w:rsidR="00713452" w:rsidRPr="0006441E" w:rsidRDefault="00713452" w:rsidP="0006441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6441E" w:rsidRPr="0006441E" w:rsidRDefault="0006441E" w:rsidP="0006441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06441E" w:rsidRPr="0006441E" w:rsidRDefault="0006441E" w:rsidP="0006441E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6441E">
        <w:rPr>
          <w:rFonts w:ascii="Times New Roman" w:hAnsi="Times New Roman" w:cs="Times New Roman"/>
          <w:b/>
          <w:sz w:val="20"/>
          <w:szCs w:val="20"/>
        </w:rPr>
        <w:t>Вопрос №2:</w:t>
      </w:r>
      <w:r w:rsidRPr="0006441E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06441E">
        <w:rPr>
          <w:rFonts w:ascii="Times New Roman" w:hAnsi="Times New Roman" w:cs="Times New Roman"/>
          <w:sz w:val="20"/>
          <w:szCs w:val="20"/>
        </w:rPr>
        <w:t xml:space="preserve">Об одобрении сделки, в совершении которой имеется заинтересованность  -  заключение договора поручительства  между ПАО ГК «ТНС </w:t>
      </w:r>
      <w:proofErr w:type="spellStart"/>
      <w:r w:rsidRPr="0006441E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Pr="0006441E">
        <w:rPr>
          <w:rFonts w:ascii="Times New Roman" w:hAnsi="Times New Roman" w:cs="Times New Roman"/>
          <w:sz w:val="20"/>
          <w:szCs w:val="20"/>
        </w:rPr>
        <w:t>» и ОАО Банк ВТБ, в обеспечение исполнения обязательств ОАО «</w:t>
      </w:r>
      <w:proofErr w:type="spellStart"/>
      <w:r w:rsidRPr="0006441E">
        <w:rPr>
          <w:rFonts w:ascii="Times New Roman" w:hAnsi="Times New Roman" w:cs="Times New Roman"/>
          <w:sz w:val="20"/>
          <w:szCs w:val="20"/>
        </w:rPr>
        <w:t>Энергосбыт</w:t>
      </w:r>
      <w:proofErr w:type="spellEnd"/>
      <w:r w:rsidRPr="0006441E">
        <w:rPr>
          <w:rFonts w:ascii="Times New Roman" w:hAnsi="Times New Roman" w:cs="Times New Roman"/>
          <w:sz w:val="20"/>
          <w:szCs w:val="20"/>
        </w:rPr>
        <w:t xml:space="preserve"> Ростовэнерго» по Кредитному соглашению (далее - Кредитное соглашение), заключенному между ОАО «</w:t>
      </w:r>
      <w:proofErr w:type="spellStart"/>
      <w:r w:rsidRPr="0006441E">
        <w:rPr>
          <w:rFonts w:ascii="Times New Roman" w:hAnsi="Times New Roman" w:cs="Times New Roman"/>
          <w:sz w:val="20"/>
          <w:szCs w:val="20"/>
        </w:rPr>
        <w:t>Энергосбыт</w:t>
      </w:r>
      <w:proofErr w:type="spellEnd"/>
      <w:r w:rsidRPr="0006441E">
        <w:rPr>
          <w:rFonts w:ascii="Times New Roman" w:hAnsi="Times New Roman" w:cs="Times New Roman"/>
          <w:sz w:val="20"/>
          <w:szCs w:val="20"/>
        </w:rPr>
        <w:t xml:space="preserve"> Ростовэнерго» и ОАО Банк ВТБ, о предоставлении кредитной линии с лимитом задолженности в сумме 3 800 000 000,00 рублей.</w:t>
      </w:r>
      <w:proofErr w:type="gramEnd"/>
    </w:p>
    <w:p w:rsid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Проект р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ешени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я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 xml:space="preserve"> по вопросу №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2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:</w:t>
      </w:r>
      <w:r w:rsidRPr="0006441E"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  <w:t xml:space="preserve"> </w:t>
      </w:r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proofErr w:type="gramStart"/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Одобрение сделки, в совершении которой имеется заинтересованность - заключение договора поручительства между ПАО ГК "ТНС </w:t>
      </w:r>
      <w:proofErr w:type="spellStart"/>
      <w:r w:rsidRPr="0006441E">
        <w:rPr>
          <w:rFonts w:ascii="Times New Roman" w:hAnsi="Times New Roman" w:cs="Times New Roman"/>
          <w:spacing w:val="-4"/>
          <w:sz w:val="20"/>
          <w:szCs w:val="20"/>
        </w:rPr>
        <w:t>энерго</w:t>
      </w:r>
      <w:proofErr w:type="spellEnd"/>
      <w:r w:rsidRPr="0006441E">
        <w:rPr>
          <w:rFonts w:ascii="Times New Roman" w:hAnsi="Times New Roman" w:cs="Times New Roman"/>
          <w:spacing w:val="-4"/>
          <w:sz w:val="20"/>
          <w:szCs w:val="20"/>
        </w:rPr>
        <w:t>" и ОАО Банк ВТБ, в обеспечение исполнения обязательств ОАО «</w:t>
      </w:r>
      <w:proofErr w:type="spellStart"/>
      <w:r w:rsidRPr="0006441E">
        <w:rPr>
          <w:rFonts w:ascii="Times New Roman" w:hAnsi="Times New Roman" w:cs="Times New Roman"/>
          <w:spacing w:val="-4"/>
          <w:sz w:val="20"/>
          <w:szCs w:val="20"/>
        </w:rPr>
        <w:t>Энергосбыт</w:t>
      </w:r>
      <w:proofErr w:type="spellEnd"/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 Ростовэнерго» по Кредитному соглашению, заключенному между ОАО "</w:t>
      </w:r>
      <w:proofErr w:type="spellStart"/>
      <w:r w:rsidRPr="0006441E">
        <w:rPr>
          <w:rFonts w:ascii="Times New Roman" w:hAnsi="Times New Roman" w:cs="Times New Roman"/>
          <w:spacing w:val="-4"/>
          <w:sz w:val="20"/>
          <w:szCs w:val="20"/>
        </w:rPr>
        <w:t>Энергосбыт</w:t>
      </w:r>
      <w:proofErr w:type="spellEnd"/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 Ростовэнерго" и ОАО Банк ВТБ, о предоставлении кредитной линии с лимитом задолженности в сумме 3 800 000 000,00 рублей на существенных условиях:</w:t>
      </w:r>
      <w:proofErr w:type="gramEnd"/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>Кредитор - Банк ВТБ (открытое акционерное общество), он же Банк Заемщик (выгодоприобретатель) - ОАО «</w:t>
      </w:r>
      <w:proofErr w:type="spellStart"/>
      <w:r w:rsidRPr="0006441E">
        <w:rPr>
          <w:rFonts w:ascii="Times New Roman" w:hAnsi="Times New Roman" w:cs="Times New Roman"/>
          <w:spacing w:val="-4"/>
          <w:sz w:val="20"/>
          <w:szCs w:val="20"/>
        </w:rPr>
        <w:t>Энергосбыт</w:t>
      </w:r>
      <w:proofErr w:type="spellEnd"/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 Ростовэнерго» Поручитель - ПАО ГК "ТНС </w:t>
      </w:r>
      <w:proofErr w:type="spellStart"/>
      <w:r w:rsidRPr="0006441E">
        <w:rPr>
          <w:rFonts w:ascii="Times New Roman" w:hAnsi="Times New Roman" w:cs="Times New Roman"/>
          <w:spacing w:val="-4"/>
          <w:sz w:val="20"/>
          <w:szCs w:val="20"/>
        </w:rPr>
        <w:t>энерго</w:t>
      </w:r>
      <w:proofErr w:type="spellEnd"/>
      <w:proofErr w:type="gramStart"/>
      <w:r w:rsidRPr="0006441E">
        <w:rPr>
          <w:rFonts w:ascii="Times New Roman" w:hAnsi="Times New Roman" w:cs="Times New Roman"/>
          <w:spacing w:val="-4"/>
          <w:sz w:val="20"/>
          <w:szCs w:val="20"/>
        </w:rPr>
        <w:t>"(</w:t>
      </w:r>
      <w:proofErr w:type="gramEnd"/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далее - Общество) Обязательства Общества по Договору поручительства: </w:t>
      </w:r>
      <w:proofErr w:type="gramStart"/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Общество в качестве поручителя принимает на себя обязательство поручиться за исполнение всех обязательств Заемщика по Кредитному соглашению, а также компенсировать Банку любые </w:t>
      </w:r>
      <w:r w:rsidRPr="0006441E">
        <w:rPr>
          <w:rFonts w:ascii="Times New Roman" w:hAnsi="Times New Roman" w:cs="Times New Roman"/>
          <w:spacing w:val="-4"/>
          <w:sz w:val="20"/>
          <w:szCs w:val="20"/>
        </w:rPr>
        <w:lastRenderedPageBreak/>
        <w:t>убытки, возникшие у Банка или понесенные им по причине того, что Заемщик не исполняет какое-либо обязательство по Кредитному соглашению, и уплачивать все иные платежи, причитающиеся с Заемщика в соответствии с условиями, предусмотренными  Кредитным соглашением.</w:t>
      </w:r>
      <w:proofErr w:type="gramEnd"/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Обязательства Заемщика по Кредитному  соглашению: </w:t>
      </w:r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>- сумма лимита задолженности – 3 800 000 000,00 рублей;</w:t>
      </w:r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- срок сделки - 365 календарных дней </w:t>
      </w:r>
      <w:proofErr w:type="gramStart"/>
      <w:r w:rsidRPr="0006441E">
        <w:rPr>
          <w:rFonts w:ascii="Times New Roman" w:hAnsi="Times New Roman" w:cs="Times New Roman"/>
          <w:spacing w:val="-4"/>
          <w:sz w:val="20"/>
          <w:szCs w:val="20"/>
        </w:rPr>
        <w:t>с даты заключения</w:t>
      </w:r>
      <w:proofErr w:type="gramEnd"/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 Кредитного соглашения;</w:t>
      </w:r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- максимальная процентная ставка - 20% </w:t>
      </w:r>
      <w:proofErr w:type="gramStart"/>
      <w:r w:rsidRPr="0006441E">
        <w:rPr>
          <w:rFonts w:ascii="Times New Roman" w:hAnsi="Times New Roman" w:cs="Times New Roman"/>
          <w:spacing w:val="-4"/>
          <w:sz w:val="20"/>
          <w:szCs w:val="20"/>
        </w:rPr>
        <w:t>годовых</w:t>
      </w:r>
      <w:proofErr w:type="gramEnd"/>
      <w:r w:rsidRPr="0006441E">
        <w:rPr>
          <w:rFonts w:ascii="Times New Roman" w:hAnsi="Times New Roman" w:cs="Times New Roman"/>
          <w:spacing w:val="-4"/>
          <w:sz w:val="20"/>
          <w:szCs w:val="20"/>
        </w:rPr>
        <w:t>;</w:t>
      </w:r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- сроки кредитов - до 90 календарных дней (включительно) </w:t>
      </w:r>
      <w:proofErr w:type="gramStart"/>
      <w:r w:rsidRPr="0006441E">
        <w:rPr>
          <w:rFonts w:ascii="Times New Roman" w:hAnsi="Times New Roman" w:cs="Times New Roman"/>
          <w:spacing w:val="-4"/>
          <w:sz w:val="20"/>
          <w:szCs w:val="20"/>
        </w:rPr>
        <w:t>с даты предоставления</w:t>
      </w:r>
      <w:proofErr w:type="gramEnd"/>
      <w:r w:rsidRPr="0006441E">
        <w:rPr>
          <w:rFonts w:ascii="Times New Roman" w:hAnsi="Times New Roman" w:cs="Times New Roman"/>
          <w:spacing w:val="-4"/>
          <w:sz w:val="20"/>
          <w:szCs w:val="20"/>
        </w:rPr>
        <w:t xml:space="preserve"> соответствующего кредита в рамках Кредитной линии.</w:t>
      </w:r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>Договором поручительства также предусмотрено положение о том, что Общество обязуется отвечать перед Банком солидарно с Заемщиком по требованию Банка о возврате полученного (о возмещении в деньгах стоимости полученного) по Кредитному соглашению при его недействительности или возврате неосновательного обогащения при признании Кредитного соглашения незаключенным.</w:t>
      </w:r>
    </w:p>
    <w:p w:rsidR="0006441E" w:rsidRPr="0006441E" w:rsidRDefault="0006441E" w:rsidP="0006441E">
      <w:pPr>
        <w:tabs>
          <w:tab w:val="left" w:pos="720"/>
        </w:tabs>
        <w:overflowPunct w:val="0"/>
        <w:autoSpaceDE w:val="0"/>
        <w:autoSpaceDN w:val="0"/>
        <w:adjustRightInd w:val="0"/>
        <w:spacing w:line="240" w:lineRule="auto"/>
        <w:contextualSpacing/>
        <w:jc w:val="both"/>
        <w:textAlignment w:val="baseline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>В случае неисполнения или ненадлежащего исполнения Поручителем обязательств по Договору поручительства, Поручитель обязан уплатить Банку неустойку в размере 1/365(366) (одна триста шестьдесят пятая (триста шестьдесят шестая)) от процентной ставки от суммы неисполненного или ненадлежащим образом исполненного обязательства за каждый день просрочки.</w:t>
      </w:r>
    </w:p>
    <w:p w:rsidR="0006441E" w:rsidRPr="0006441E" w:rsidRDefault="0006441E" w:rsidP="0006441E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0"/>
          <w:szCs w:val="20"/>
        </w:rPr>
      </w:pPr>
      <w:r w:rsidRPr="0006441E">
        <w:rPr>
          <w:rFonts w:ascii="Times New Roman" w:hAnsi="Times New Roman" w:cs="Times New Roman"/>
          <w:spacing w:val="-4"/>
          <w:sz w:val="20"/>
          <w:szCs w:val="20"/>
        </w:rPr>
        <w:t>Члены Совета директоров Общества с проектами Кредитного соглашения и Договора поручительства, а также их условиями, ознакомлены и согласны.</w:t>
      </w:r>
      <w:r w:rsidRPr="0006441E">
        <w:rPr>
          <w:rFonts w:ascii="Times New Roman" w:hAnsi="Times New Roman" w:cs="Times New Roman"/>
          <w:spacing w:val="-4"/>
          <w:sz w:val="20"/>
          <w:szCs w:val="20"/>
        </w:rPr>
        <w:tab/>
      </w:r>
    </w:p>
    <w:p w:rsidR="0006441E" w:rsidRDefault="0006441E" w:rsidP="0006441E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441E" w:rsidRDefault="0006441E" w:rsidP="0006441E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441E" w:rsidRPr="0006441E" w:rsidRDefault="0006441E" w:rsidP="0006441E">
      <w:pPr>
        <w:tabs>
          <w:tab w:val="left" w:pos="993"/>
          <w:tab w:val="num" w:pos="1134"/>
        </w:tabs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441E">
        <w:rPr>
          <w:rFonts w:ascii="Times New Roman" w:hAnsi="Times New Roman" w:cs="Times New Roman"/>
          <w:b/>
          <w:sz w:val="20"/>
          <w:szCs w:val="20"/>
        </w:rPr>
        <w:t xml:space="preserve">Вопрос №3: </w:t>
      </w:r>
      <w:r w:rsidRPr="0006441E">
        <w:rPr>
          <w:rFonts w:ascii="Times New Roman" w:hAnsi="Times New Roman" w:cs="Times New Roman"/>
          <w:sz w:val="20"/>
          <w:szCs w:val="20"/>
        </w:rPr>
        <w:t xml:space="preserve">Об утверждении Положения о порядке созыва и проведения заседаний Совета директоров ПАО ГК «ТНС </w:t>
      </w:r>
      <w:proofErr w:type="spellStart"/>
      <w:r w:rsidRPr="0006441E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Pr="0006441E">
        <w:rPr>
          <w:rFonts w:ascii="Times New Roman" w:hAnsi="Times New Roman" w:cs="Times New Roman"/>
          <w:sz w:val="20"/>
          <w:szCs w:val="20"/>
        </w:rPr>
        <w:t>».</w:t>
      </w:r>
    </w:p>
    <w:p w:rsidR="0006441E" w:rsidRDefault="0006441E" w:rsidP="0006441E">
      <w:pPr>
        <w:tabs>
          <w:tab w:val="left" w:pos="851"/>
          <w:tab w:val="left" w:pos="113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Проект р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ешени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я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 xml:space="preserve"> по вопросу №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3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:</w:t>
      </w:r>
      <w:r w:rsidRPr="0006441E"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  <w:t xml:space="preserve"> </w:t>
      </w:r>
    </w:p>
    <w:p w:rsidR="0006441E" w:rsidRPr="0006441E" w:rsidRDefault="0006441E" w:rsidP="0006441E">
      <w:pPr>
        <w:tabs>
          <w:tab w:val="left" w:pos="851"/>
          <w:tab w:val="left" w:pos="1134"/>
        </w:tabs>
        <w:spacing w:line="240" w:lineRule="auto"/>
        <w:contextualSpacing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06441E">
        <w:rPr>
          <w:rFonts w:ascii="Times New Roman" w:hAnsi="Times New Roman" w:cs="Times New Roman"/>
          <w:spacing w:val="-8"/>
          <w:sz w:val="20"/>
          <w:szCs w:val="20"/>
        </w:rPr>
        <w:t xml:space="preserve">Утвердить Положение </w:t>
      </w:r>
      <w:r w:rsidRPr="0006441E">
        <w:rPr>
          <w:rFonts w:ascii="Times New Roman" w:hAnsi="Times New Roman" w:cs="Times New Roman"/>
          <w:sz w:val="20"/>
          <w:szCs w:val="20"/>
        </w:rPr>
        <w:t>о порядке созыва и проведения заседаний Совета директоров Общества</w:t>
      </w:r>
      <w:r w:rsidRPr="0006441E">
        <w:rPr>
          <w:rFonts w:ascii="Times New Roman" w:hAnsi="Times New Roman" w:cs="Times New Roman"/>
          <w:spacing w:val="-8"/>
          <w:sz w:val="20"/>
          <w:szCs w:val="20"/>
        </w:rPr>
        <w:t xml:space="preserve"> в соответствии с </w:t>
      </w:r>
      <w:r w:rsidRPr="0006441E">
        <w:rPr>
          <w:rFonts w:ascii="Times New Roman" w:hAnsi="Times New Roman" w:cs="Times New Roman"/>
          <w:b/>
          <w:spacing w:val="-8"/>
          <w:sz w:val="20"/>
          <w:szCs w:val="20"/>
        </w:rPr>
        <w:t>Приложением №1.</w:t>
      </w:r>
      <w:r w:rsidRPr="0006441E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</w:p>
    <w:p w:rsidR="0006441E" w:rsidRDefault="0006441E" w:rsidP="0006441E">
      <w:pPr>
        <w:tabs>
          <w:tab w:val="left" w:pos="993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441E" w:rsidRDefault="0006441E" w:rsidP="0006441E">
      <w:pPr>
        <w:tabs>
          <w:tab w:val="left" w:pos="993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441E" w:rsidRPr="0006441E" w:rsidRDefault="0006441E" w:rsidP="0006441E">
      <w:pPr>
        <w:tabs>
          <w:tab w:val="left" w:pos="993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441E">
        <w:rPr>
          <w:rFonts w:ascii="Times New Roman" w:hAnsi="Times New Roman" w:cs="Times New Roman"/>
          <w:b/>
          <w:sz w:val="20"/>
          <w:szCs w:val="20"/>
        </w:rPr>
        <w:t xml:space="preserve">Вопрос №4: </w:t>
      </w:r>
      <w:r w:rsidRPr="0006441E">
        <w:rPr>
          <w:rFonts w:ascii="Times New Roman" w:hAnsi="Times New Roman" w:cs="Times New Roman"/>
          <w:sz w:val="20"/>
          <w:szCs w:val="20"/>
        </w:rPr>
        <w:t xml:space="preserve">Об утверждении Положения об общем собрании акционеров ПАО ГК «ТНС </w:t>
      </w:r>
      <w:proofErr w:type="spellStart"/>
      <w:r w:rsidRPr="0006441E">
        <w:rPr>
          <w:rFonts w:ascii="Times New Roman" w:hAnsi="Times New Roman" w:cs="Times New Roman"/>
          <w:sz w:val="20"/>
          <w:szCs w:val="20"/>
        </w:rPr>
        <w:t>энерго</w:t>
      </w:r>
      <w:proofErr w:type="spellEnd"/>
      <w:r w:rsidRPr="0006441E">
        <w:rPr>
          <w:rFonts w:ascii="Times New Roman" w:hAnsi="Times New Roman" w:cs="Times New Roman"/>
          <w:sz w:val="20"/>
          <w:szCs w:val="20"/>
        </w:rPr>
        <w:t>».</w:t>
      </w:r>
    </w:p>
    <w:p w:rsidR="0006441E" w:rsidRDefault="0006441E" w:rsidP="0006441E">
      <w:pPr>
        <w:tabs>
          <w:tab w:val="left" w:pos="851"/>
          <w:tab w:val="left" w:pos="1134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Проект р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ешени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я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 xml:space="preserve"> по вопросу №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4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:</w:t>
      </w:r>
      <w:r w:rsidRPr="0006441E"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  <w:t xml:space="preserve"> </w:t>
      </w:r>
    </w:p>
    <w:p w:rsidR="0006441E" w:rsidRPr="0006441E" w:rsidRDefault="0006441E" w:rsidP="0006441E">
      <w:pPr>
        <w:tabs>
          <w:tab w:val="left" w:pos="851"/>
          <w:tab w:val="left" w:pos="1134"/>
        </w:tabs>
        <w:spacing w:line="240" w:lineRule="auto"/>
        <w:contextualSpacing/>
        <w:jc w:val="both"/>
        <w:rPr>
          <w:rFonts w:ascii="Times New Roman" w:hAnsi="Times New Roman" w:cs="Times New Roman"/>
          <w:spacing w:val="-8"/>
          <w:sz w:val="20"/>
          <w:szCs w:val="20"/>
        </w:rPr>
      </w:pPr>
      <w:r w:rsidRPr="0006441E">
        <w:rPr>
          <w:rFonts w:ascii="Times New Roman" w:hAnsi="Times New Roman" w:cs="Times New Roman"/>
          <w:spacing w:val="-8"/>
          <w:sz w:val="20"/>
          <w:szCs w:val="20"/>
        </w:rPr>
        <w:t xml:space="preserve">Утвердить Положение об общем собрании акционеров Общества в соответствии с </w:t>
      </w:r>
      <w:r w:rsidRPr="0006441E">
        <w:rPr>
          <w:rFonts w:ascii="Times New Roman" w:hAnsi="Times New Roman" w:cs="Times New Roman"/>
          <w:b/>
          <w:spacing w:val="-8"/>
          <w:sz w:val="20"/>
          <w:szCs w:val="20"/>
        </w:rPr>
        <w:t>Пр</w:t>
      </w:r>
      <w:bookmarkStart w:id="0" w:name="_GoBack"/>
      <w:bookmarkEnd w:id="0"/>
      <w:r w:rsidRPr="0006441E">
        <w:rPr>
          <w:rFonts w:ascii="Times New Roman" w:hAnsi="Times New Roman" w:cs="Times New Roman"/>
          <w:b/>
          <w:spacing w:val="-8"/>
          <w:sz w:val="20"/>
          <w:szCs w:val="20"/>
        </w:rPr>
        <w:t>иложением №2.</w:t>
      </w:r>
      <w:r w:rsidRPr="0006441E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</w:p>
    <w:p w:rsidR="0006441E" w:rsidRDefault="0006441E" w:rsidP="0006441E">
      <w:pPr>
        <w:tabs>
          <w:tab w:val="left" w:pos="244"/>
          <w:tab w:val="left" w:pos="993"/>
          <w:tab w:val="left" w:pos="1134"/>
          <w:tab w:val="left" w:pos="9923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441E" w:rsidRDefault="0006441E" w:rsidP="0006441E">
      <w:pPr>
        <w:tabs>
          <w:tab w:val="left" w:pos="244"/>
          <w:tab w:val="left" w:pos="993"/>
          <w:tab w:val="left" w:pos="1134"/>
          <w:tab w:val="left" w:pos="9923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6441E" w:rsidRPr="0006441E" w:rsidRDefault="0006441E" w:rsidP="0006441E">
      <w:pPr>
        <w:tabs>
          <w:tab w:val="left" w:pos="244"/>
          <w:tab w:val="left" w:pos="993"/>
          <w:tab w:val="left" w:pos="1134"/>
          <w:tab w:val="left" w:pos="9923"/>
        </w:tabs>
        <w:spacing w:line="240" w:lineRule="auto"/>
        <w:contextualSpacing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6441E">
        <w:rPr>
          <w:rFonts w:ascii="Times New Roman" w:hAnsi="Times New Roman" w:cs="Times New Roman"/>
          <w:b/>
          <w:sz w:val="20"/>
          <w:szCs w:val="20"/>
        </w:rPr>
        <w:t xml:space="preserve">Вопрос №5: </w:t>
      </w:r>
      <w:r w:rsidRPr="0006441E">
        <w:rPr>
          <w:rFonts w:ascii="Times New Roman" w:hAnsi="Times New Roman" w:cs="Times New Roman"/>
          <w:iCs/>
          <w:sz w:val="20"/>
          <w:szCs w:val="20"/>
        </w:rPr>
        <w:t xml:space="preserve">Об утверждении Положения о выплате членам Совета директоров ПАО ГК «ТНС </w:t>
      </w:r>
      <w:proofErr w:type="spellStart"/>
      <w:r w:rsidRPr="0006441E">
        <w:rPr>
          <w:rFonts w:ascii="Times New Roman" w:hAnsi="Times New Roman" w:cs="Times New Roman"/>
          <w:iCs/>
          <w:sz w:val="20"/>
          <w:szCs w:val="20"/>
        </w:rPr>
        <w:t>энерго</w:t>
      </w:r>
      <w:proofErr w:type="spellEnd"/>
      <w:r w:rsidRPr="0006441E">
        <w:rPr>
          <w:rFonts w:ascii="Times New Roman" w:hAnsi="Times New Roman" w:cs="Times New Roman"/>
          <w:iCs/>
          <w:sz w:val="20"/>
          <w:szCs w:val="20"/>
        </w:rPr>
        <w:t>» вознаграждений и компенсаций.</w:t>
      </w:r>
    </w:p>
    <w:p w:rsidR="0006441E" w:rsidRDefault="0006441E" w:rsidP="0006441E">
      <w:pPr>
        <w:spacing w:line="240" w:lineRule="auto"/>
        <w:ind w:right="-14"/>
        <w:contextualSpacing/>
        <w:jc w:val="both"/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Проект р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ешени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я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 xml:space="preserve"> по вопросу №</w:t>
      </w:r>
      <w:r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5</w:t>
      </w:r>
      <w:r w:rsidRPr="0006441E">
        <w:rPr>
          <w:rFonts w:ascii="Times New Roman" w:eastAsia="Times New Roman" w:hAnsi="Times New Roman" w:cs="Times New Roman"/>
          <w:b/>
          <w:spacing w:val="-4"/>
          <w:sz w:val="20"/>
          <w:szCs w:val="20"/>
          <w:shd w:val="clear" w:color="auto" w:fill="FFFFFF"/>
          <w:lang w:eastAsia="ru-RU"/>
        </w:rPr>
        <w:t>:</w:t>
      </w:r>
      <w:r w:rsidRPr="0006441E">
        <w:rPr>
          <w:rFonts w:ascii="Times New Roman" w:eastAsia="Times New Roman" w:hAnsi="Times New Roman" w:cs="Times New Roman"/>
          <w:b/>
          <w:i/>
          <w:spacing w:val="-4"/>
          <w:sz w:val="20"/>
          <w:szCs w:val="20"/>
          <w:lang w:eastAsia="ru-RU"/>
        </w:rPr>
        <w:t xml:space="preserve"> </w:t>
      </w:r>
    </w:p>
    <w:p w:rsidR="0006441E" w:rsidRPr="0006441E" w:rsidRDefault="0006441E" w:rsidP="0006441E">
      <w:pPr>
        <w:spacing w:line="240" w:lineRule="auto"/>
        <w:ind w:right="-14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6441E">
        <w:rPr>
          <w:rFonts w:ascii="Times New Roman" w:hAnsi="Times New Roman" w:cs="Times New Roman"/>
          <w:spacing w:val="-8"/>
          <w:sz w:val="20"/>
          <w:szCs w:val="20"/>
        </w:rPr>
        <w:t xml:space="preserve">Утвердить Положение </w:t>
      </w:r>
      <w:r w:rsidRPr="0006441E">
        <w:rPr>
          <w:rFonts w:ascii="Times New Roman" w:hAnsi="Times New Roman" w:cs="Times New Roman"/>
          <w:iCs/>
          <w:sz w:val="20"/>
          <w:szCs w:val="20"/>
        </w:rPr>
        <w:t xml:space="preserve">о выплате членам Совета директоров </w:t>
      </w:r>
      <w:r w:rsidRPr="0006441E">
        <w:rPr>
          <w:rFonts w:ascii="Times New Roman" w:hAnsi="Times New Roman" w:cs="Times New Roman"/>
          <w:spacing w:val="-8"/>
          <w:sz w:val="20"/>
          <w:szCs w:val="20"/>
        </w:rPr>
        <w:t>Общества</w:t>
      </w:r>
      <w:r w:rsidRPr="0006441E">
        <w:rPr>
          <w:rFonts w:ascii="Times New Roman" w:hAnsi="Times New Roman" w:cs="Times New Roman"/>
          <w:iCs/>
          <w:sz w:val="20"/>
          <w:szCs w:val="20"/>
        </w:rPr>
        <w:t xml:space="preserve"> вознаграждений и компенсаций</w:t>
      </w:r>
      <w:r w:rsidRPr="0006441E">
        <w:rPr>
          <w:rFonts w:ascii="Times New Roman" w:hAnsi="Times New Roman" w:cs="Times New Roman"/>
          <w:spacing w:val="-8"/>
          <w:sz w:val="20"/>
          <w:szCs w:val="20"/>
        </w:rPr>
        <w:t xml:space="preserve"> в соответствии с </w:t>
      </w:r>
      <w:r w:rsidRPr="0006441E">
        <w:rPr>
          <w:rFonts w:ascii="Times New Roman" w:hAnsi="Times New Roman" w:cs="Times New Roman"/>
          <w:b/>
          <w:spacing w:val="-8"/>
          <w:sz w:val="20"/>
          <w:szCs w:val="20"/>
        </w:rPr>
        <w:t>Приложением №3.</w:t>
      </w:r>
      <w:r w:rsidRPr="0006441E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</w:p>
    <w:sectPr w:rsidR="0006441E" w:rsidRPr="00064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CED"/>
    <w:rsid w:val="0006441E"/>
    <w:rsid w:val="00713452"/>
    <w:rsid w:val="00725FAD"/>
    <w:rsid w:val="00E1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976</Words>
  <Characters>5566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Litvinenko K. V.</dc:creator>
  <cp:keywords/>
  <dc:description/>
  <cp:lastModifiedBy>Litvinenko K. V.</cp:lastModifiedBy>
  <cp:revision>2</cp:revision>
  <dcterms:created xsi:type="dcterms:W3CDTF">2015-07-15T09:08:00Z</dcterms:created>
  <dcterms:modified xsi:type="dcterms:W3CDTF">2015-07-15T09:11:00Z</dcterms:modified>
</cp:coreProperties>
</file>