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4DD" w:rsidRPr="003B7E85" w:rsidRDefault="00E924DD" w:rsidP="00E924DD">
      <w:pPr>
        <w:ind w:firstLine="708"/>
        <w:jc w:val="center"/>
        <w:rPr>
          <w:sz w:val="26"/>
          <w:szCs w:val="26"/>
        </w:rPr>
      </w:pPr>
      <w:r w:rsidRPr="003B7E85">
        <w:rPr>
          <w:sz w:val="26"/>
          <w:szCs w:val="26"/>
        </w:rPr>
        <w:t xml:space="preserve">Перечень изменений (Дополнение № 9) </w:t>
      </w:r>
    </w:p>
    <w:p w:rsidR="00E924DD" w:rsidRDefault="00E924DD" w:rsidP="00E924DD">
      <w:pPr>
        <w:ind w:firstLine="708"/>
        <w:jc w:val="center"/>
        <w:rPr>
          <w:sz w:val="26"/>
          <w:szCs w:val="26"/>
        </w:rPr>
      </w:pPr>
      <w:r w:rsidRPr="003B7E85">
        <w:rPr>
          <w:sz w:val="26"/>
          <w:szCs w:val="26"/>
        </w:rPr>
        <w:t xml:space="preserve">к Договору залога движимого имущества от 30 августа 2011 года  </w:t>
      </w:r>
    </w:p>
    <w:p w:rsidR="00E924DD" w:rsidRPr="003B7E85" w:rsidRDefault="00E924DD" w:rsidP="00E924DD">
      <w:pPr>
        <w:ind w:firstLine="708"/>
        <w:jc w:val="center"/>
        <w:rPr>
          <w:sz w:val="26"/>
          <w:szCs w:val="26"/>
        </w:rPr>
      </w:pPr>
      <w:r w:rsidRPr="003B7E85">
        <w:rPr>
          <w:sz w:val="26"/>
          <w:szCs w:val="26"/>
        </w:rPr>
        <w:t>№ 110200/1103 - ДЗ/2 между  ОАО «КАМАЗ» и Государственной корпорацией «Банк развития и внешнеэкономической деятельности (Внешэкономбанк)»</w:t>
      </w:r>
    </w:p>
    <w:p w:rsidR="00E924DD" w:rsidRPr="00F91E57" w:rsidRDefault="00E924DD" w:rsidP="00E924DD">
      <w:pPr>
        <w:ind w:firstLine="708"/>
        <w:jc w:val="center"/>
      </w:pPr>
    </w:p>
    <w:p w:rsidR="00E924DD" w:rsidRPr="00F91E57" w:rsidRDefault="00E924DD" w:rsidP="00E924DD">
      <w:pPr>
        <w:ind w:firstLine="708"/>
        <w:jc w:val="center"/>
      </w:pPr>
    </w:p>
    <w:p w:rsidR="00E924DD" w:rsidRPr="00F91E57" w:rsidRDefault="00E924DD" w:rsidP="00E924DD">
      <w:pPr>
        <w:tabs>
          <w:tab w:val="left" w:pos="709"/>
        </w:tabs>
        <w:suppressAutoHyphens/>
        <w:spacing w:before="60"/>
        <w:jc w:val="center"/>
      </w:pPr>
      <w:r w:rsidRPr="00F91E57">
        <w:t>г. Москва</w:t>
      </w:r>
      <w:r w:rsidRPr="00F91E57">
        <w:tab/>
      </w:r>
      <w:r w:rsidRPr="00F91E57">
        <w:tab/>
      </w:r>
      <w:r w:rsidRPr="00F91E57">
        <w:tab/>
      </w:r>
      <w:r w:rsidRPr="00F91E57">
        <w:tab/>
      </w:r>
      <w:r w:rsidRPr="00F91E57">
        <w:tab/>
        <w:t xml:space="preserve"> </w:t>
      </w:r>
      <w:r w:rsidRPr="00F91E57">
        <w:tab/>
      </w:r>
      <w:r>
        <w:tab/>
      </w:r>
      <w:r w:rsidRPr="00F91E57">
        <w:t xml:space="preserve"> «___» ____________ 201_ года</w:t>
      </w:r>
      <w:r w:rsidRPr="00F91E57">
        <w:tab/>
      </w:r>
    </w:p>
    <w:p w:rsidR="00E924DD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  <w:rPr>
          <w:spacing w:val="2"/>
        </w:rPr>
      </w:pPr>
      <w:r w:rsidRPr="00F91E57">
        <w:t xml:space="preserve">Государственная корпорация «Банк развития и внешнеэкономической деятельности (Внешэкономбанк)» (юридический адрес: проспект Академика Сахарова, д. </w:t>
      </w:r>
      <w:smartTag w:uri="urn:schemas-microsoft-com:office:smarttags" w:element="metricconverter">
        <w:smartTagPr>
          <w:attr w:name="ProductID" w:val="9, г"/>
        </w:smartTagPr>
        <w:r w:rsidRPr="00F91E57">
          <w:t>9, г</w:t>
        </w:r>
      </w:smartTag>
      <w:r w:rsidRPr="00F91E57">
        <w:t xml:space="preserve">. Москва, 107996; ИНН 7750004150; </w:t>
      </w:r>
      <w:proofErr w:type="gramStart"/>
      <w:r w:rsidRPr="00F91E57">
        <w:t>ОГРН 107771100010</w:t>
      </w:r>
      <w:bookmarkStart w:id="0" w:name="_GoBack"/>
      <w:bookmarkEnd w:id="0"/>
      <w:r w:rsidRPr="00F91E57">
        <w:t>2</w:t>
      </w:r>
      <w:r w:rsidRPr="00F91E57">
        <w:rPr>
          <w:spacing w:val="2"/>
        </w:rPr>
        <w:t>)</w:t>
      </w:r>
      <w:r w:rsidRPr="00F91E57">
        <w:t>, именуемая в дальнейшем «</w:t>
      </w:r>
      <w:r w:rsidRPr="00F91E57">
        <w:rPr>
          <w:b/>
          <w:bCs/>
        </w:rPr>
        <w:t xml:space="preserve">Залогодержатель» </w:t>
      </w:r>
      <w:r w:rsidRPr="00F91E57">
        <w:rPr>
          <w:bCs/>
        </w:rPr>
        <w:t>или</w:t>
      </w:r>
      <w:r w:rsidRPr="00F91E57">
        <w:rPr>
          <w:b/>
          <w:bCs/>
        </w:rPr>
        <w:t xml:space="preserve"> «</w:t>
      </w:r>
      <w:r w:rsidRPr="00F91E57">
        <w:rPr>
          <w:b/>
        </w:rPr>
        <w:t>Кредитор</w:t>
      </w:r>
      <w:r w:rsidRPr="00F91E57">
        <w:t>»</w:t>
      </w:r>
      <w:r w:rsidRPr="00F91E57">
        <w:rPr>
          <w:spacing w:val="2"/>
        </w:rPr>
        <w:t xml:space="preserve">, в лице </w:t>
      </w:r>
      <w:r w:rsidRPr="00F91E57">
        <w:t xml:space="preserve">директора Департамента сопровождения кредитных операций Игоря Николаевича Логинова, действующего на основании Доверенности от 01 апреля 2013 г. № 184/150000, зарегистрированной в реестре 01 апреля 2013 г. за № 5-224 нотариусом города Москвы </w:t>
      </w:r>
      <w:proofErr w:type="spellStart"/>
      <w:r w:rsidRPr="00F91E57">
        <w:t>Капура</w:t>
      </w:r>
      <w:proofErr w:type="spellEnd"/>
      <w:r w:rsidRPr="00F91E57">
        <w:t xml:space="preserve"> О.И., с одной стороны</w:t>
      </w:r>
      <w:r w:rsidRPr="00F91E57">
        <w:rPr>
          <w:spacing w:val="2"/>
        </w:rPr>
        <w:t>, и</w:t>
      </w:r>
      <w:proofErr w:type="gramEnd"/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ab/>
        <w:t xml:space="preserve">Открытое акционерное общество «КАМАЗ» (ОАО «КАМАЗ») (местонахождение: </w:t>
      </w:r>
      <w:r w:rsidRPr="00F91E57">
        <w:rPr>
          <w:spacing w:val="2"/>
        </w:rPr>
        <w:t xml:space="preserve">423827, РФ, г. Набережные Челны, </w:t>
      </w:r>
      <w:proofErr w:type="spellStart"/>
      <w:r w:rsidRPr="00F91E57">
        <w:rPr>
          <w:spacing w:val="2"/>
        </w:rPr>
        <w:t>пр-т</w:t>
      </w:r>
      <w:proofErr w:type="spellEnd"/>
      <w:r w:rsidRPr="00F91E57">
        <w:rPr>
          <w:spacing w:val="2"/>
        </w:rPr>
        <w:t xml:space="preserve"> Автозаводский, д. 2,</w:t>
      </w:r>
      <w:r w:rsidRPr="00F91E57">
        <w:t xml:space="preserve"> ИНН 1650032058, ОГРН 1021602013971) именуемое в дальнейшем «</w:t>
      </w:r>
      <w:r w:rsidRPr="00F91E57">
        <w:rPr>
          <w:b/>
        </w:rPr>
        <w:t>Залогодатель</w:t>
      </w:r>
      <w:r w:rsidRPr="00F91E57">
        <w:t>» или «</w:t>
      </w:r>
      <w:r w:rsidRPr="00F91E57">
        <w:rPr>
          <w:b/>
        </w:rPr>
        <w:t>Заемщик</w:t>
      </w:r>
      <w:r w:rsidRPr="00F91E57">
        <w:t xml:space="preserve">», в лице директора Департамента финансов ОАО «КАМАЗ» </w:t>
      </w:r>
      <w:proofErr w:type="spellStart"/>
      <w:r w:rsidRPr="00F91E57">
        <w:t>Самата</w:t>
      </w:r>
      <w:proofErr w:type="spellEnd"/>
      <w:r w:rsidRPr="00F91E57">
        <w:t xml:space="preserve"> </w:t>
      </w:r>
      <w:proofErr w:type="spellStart"/>
      <w:r w:rsidRPr="00F91E57">
        <w:t>Гарафутдиновича</w:t>
      </w:r>
      <w:proofErr w:type="spellEnd"/>
      <w:r w:rsidRPr="00F91E57">
        <w:t xml:space="preserve"> </w:t>
      </w:r>
      <w:proofErr w:type="spellStart"/>
      <w:r w:rsidRPr="00F91E57">
        <w:t>Саттарова</w:t>
      </w:r>
      <w:proofErr w:type="spellEnd"/>
      <w:r w:rsidRPr="00F91E57">
        <w:t xml:space="preserve">, действующего на основании Доверенности от 03 марта 2014 г. № 01/07-276, с другой стороны, </w:t>
      </w:r>
    </w:p>
    <w:p w:rsidR="00E924DD" w:rsidRPr="00F91E57" w:rsidRDefault="00E924DD" w:rsidP="00E924DD">
      <w:pPr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 xml:space="preserve">при этом Залогодержатель и Залогодатель совместно именуются в дальнейшем </w:t>
      </w:r>
      <w:r w:rsidRPr="00F91E57">
        <w:rPr>
          <w:b/>
        </w:rPr>
        <w:t>«Стороны»</w:t>
      </w:r>
      <w:r w:rsidRPr="00F91E57">
        <w:t xml:space="preserve">, а по отдельности – </w:t>
      </w:r>
      <w:r w:rsidRPr="00F91E57">
        <w:rPr>
          <w:b/>
        </w:rPr>
        <w:t>«Сторона»</w:t>
      </w:r>
      <w:r w:rsidRPr="00F91E57">
        <w:t>,</w:t>
      </w: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ab/>
        <w:t>принимая во внимание:</w:t>
      </w: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 xml:space="preserve">- Кредитное соглашение от 31 декабря 2010 г. № 110100/1103 в редакции Дополнения от 12 октября 2011 г. № 1, Дополнения от 25 апреля 2012 г. № 2, Дополнения от 15 марта 2013 г. № 3 и Дополнения от 19 августа 2014 г. № 4, заключенное между Залогодержателем и Залогодателем в г. Москве (далее – </w:t>
      </w:r>
      <w:r w:rsidRPr="00F91E57">
        <w:rPr>
          <w:b/>
        </w:rPr>
        <w:t>«Соглашение</w:t>
      </w:r>
      <w:r w:rsidRPr="00F91E57">
        <w:t>»),</w:t>
      </w:r>
    </w:p>
    <w:p w:rsidR="00E924DD" w:rsidRPr="00F91E57" w:rsidRDefault="00E924DD" w:rsidP="00E924DD">
      <w:pPr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proofErr w:type="gramStart"/>
      <w:r w:rsidRPr="00F91E57">
        <w:t>- Договор залога движимого имущества от 30 августа 2011 г. № 110200/1103-ДЗ/2 в редакции Дополнения от 06 октября 2011г. № 1, Дополнения от 13 декабря 2011 г. № 2, Дополнения от 15 мая 2012 г. № 3, Дополнения от 31 октября 2012 г. № 4, Дополнения от 13 мая 2013 г. № 5, Дополнения от 26 августа 2013 г. №6, Дополнения от 21 февраля 2014</w:t>
      </w:r>
      <w:proofErr w:type="gramEnd"/>
      <w:r w:rsidRPr="00F91E57">
        <w:t xml:space="preserve"> г. № 7 и Дополнения от 19 августа 2014 г. № 8, заключенный между Залогодержателем и Залогодателем в г. Москве (в дальнейшем - </w:t>
      </w:r>
      <w:r w:rsidRPr="00F91E57">
        <w:rPr>
          <w:b/>
        </w:rPr>
        <w:t>«Договор»</w:t>
      </w:r>
      <w:r w:rsidRPr="00F91E57">
        <w:t>),</w:t>
      </w:r>
    </w:p>
    <w:p w:rsidR="00E924DD" w:rsidRPr="00F91E57" w:rsidRDefault="00E924DD" w:rsidP="00E924DD">
      <w:pPr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ab/>
        <w:t xml:space="preserve">заключили настоящее Дополнение № 9 к Договору (в дальнейшем – </w:t>
      </w:r>
      <w:r w:rsidRPr="00F91E57">
        <w:rPr>
          <w:b/>
        </w:rPr>
        <w:t>«Дополнение № 9»</w:t>
      </w:r>
      <w:r w:rsidRPr="00F91E57">
        <w:t>) о нижеследующем:</w:t>
      </w:r>
    </w:p>
    <w:p w:rsidR="00E924DD" w:rsidRPr="00F91E57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</w:pPr>
      <w:r w:rsidRPr="00F91E57">
        <w:t>Дополнить п. 2.3.2 Статьи 2 Договора подпунктом «</w:t>
      </w:r>
      <w:proofErr w:type="spellStart"/>
      <w:r w:rsidRPr="00F91E57">
        <w:t>п</w:t>
      </w:r>
      <w:proofErr w:type="spellEnd"/>
      <w:r w:rsidRPr="00F91E57">
        <w:t>)» в следующей редакции:</w:t>
      </w: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proofErr w:type="gramStart"/>
      <w:r w:rsidRPr="00F91E57">
        <w:t>«</w:t>
      </w:r>
      <w:proofErr w:type="spellStart"/>
      <w:r w:rsidRPr="00F91E57">
        <w:t>п</w:t>
      </w:r>
      <w:proofErr w:type="spellEnd"/>
      <w:r w:rsidRPr="00F91E57">
        <w:t>) В течение 5 (пяти) рабочих дней с даты заключения Дополнения 9 Залогодатель обязуется за свой счет направить уведомление о возникновении залога Имущества в пользу Залогодержателя, создаваемого в соответствии с настоящим Договором (далее – Залог) по форме, установленной законодательством, и обеспечить внесение сведений о залоге Имущества в пользу Залогодержателя в ведущийся в электронной форме и входящий в единую информационную систему нотариата</w:t>
      </w:r>
      <w:proofErr w:type="gramEnd"/>
      <w:r w:rsidRPr="00F91E57">
        <w:t xml:space="preserve"> реестр уведомлений о залоге движимого имущества, а также уплатить все связанные с этим государственные пошлины и вознаграждения.</w:t>
      </w: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ab/>
        <w:t>Настоящим Залогодатель предоставляет согласие на внесение сведений о Залоге в указанный реестр уведомлений о залоге движимого имущества, а также на изменение/исключение сведений о залоге Имущества из указанного реестра уведомлений.</w:t>
      </w: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ab/>
        <w:t>В течение 20 рабочих дней после даты подписания Дополнения 9 к Договору Залогодатель обязуется предоставить Залогодержателю нотариально заверенную копию свидетельства  о регистрации уведомления о Залоге</w:t>
      </w:r>
      <w:proofErr w:type="gramStart"/>
      <w:r w:rsidRPr="00F91E57">
        <w:t>.»</w:t>
      </w:r>
      <w:proofErr w:type="gramEnd"/>
    </w:p>
    <w:p w:rsidR="00E924DD" w:rsidRPr="00F91E57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</w:pPr>
      <w:r w:rsidRPr="00F91E57">
        <w:t>Изложить пункт 6.3 Статьи 6 Договора в следующей редакции:</w:t>
      </w:r>
    </w:p>
    <w:p w:rsidR="00E924DD" w:rsidRPr="00F91E57" w:rsidRDefault="00E924DD" w:rsidP="00E924DD">
      <w:pPr>
        <w:pStyle w:val="a3"/>
        <w:tabs>
          <w:tab w:val="left" w:pos="993"/>
        </w:tabs>
        <w:spacing w:before="60"/>
        <w:ind w:firstLine="567"/>
        <w:jc w:val="both"/>
      </w:pPr>
      <w:r w:rsidRPr="00F91E57">
        <w:t>«6.3. Информация, определенная Сторонами как конфиденциальная, не подлежит передаче третьим лицам, за исключением случаев, предусмотренных законодательством Российской Ф</w:t>
      </w:r>
      <w:r w:rsidRPr="00F91E57">
        <w:t>е</w:t>
      </w:r>
      <w:r w:rsidRPr="00F91E57">
        <w:t>дерации и настоящим пунктом 6.3 Договора.</w:t>
      </w:r>
    </w:p>
    <w:p w:rsidR="00E924DD" w:rsidRPr="00F91E57" w:rsidRDefault="00E924DD" w:rsidP="00E924DD">
      <w:pPr>
        <w:pStyle w:val="a3"/>
        <w:tabs>
          <w:tab w:val="left" w:pos="993"/>
        </w:tabs>
        <w:spacing w:before="60"/>
        <w:ind w:firstLine="567"/>
        <w:jc w:val="both"/>
      </w:pPr>
      <w:proofErr w:type="gramStart"/>
      <w:r w:rsidRPr="00F91E57">
        <w:t>В случае, в порядке и в объемах, как это необходимо для уступки или переговоров об уступке прав/переводе об</w:t>
      </w:r>
      <w:r w:rsidRPr="00F91E57">
        <w:t>я</w:t>
      </w:r>
      <w:r w:rsidRPr="00F91E57">
        <w:t>занностей Кредитора по настоящему Договору, Кредитор имеет право раскрывать сведения о Соглашении и Договоре, его условиях, Заемщике, действиях, правах и обязанностях сторон, возникающих из или в связи с Соглашением, при условии заключения З</w:t>
      </w:r>
      <w:r w:rsidRPr="00F91E57">
        <w:t>а</w:t>
      </w:r>
      <w:r w:rsidRPr="00F91E57">
        <w:t>емщиком с лицом, которому такие сведения раскрываются, соглашения о конфиденциальности</w:t>
      </w:r>
      <w:proofErr w:type="gramEnd"/>
      <w:r w:rsidRPr="00F91E57">
        <w:t>.</w:t>
      </w:r>
    </w:p>
    <w:p w:rsidR="00E924DD" w:rsidRPr="00F91E57" w:rsidRDefault="00E924DD" w:rsidP="00E924DD">
      <w:pPr>
        <w:pStyle w:val="a3"/>
        <w:tabs>
          <w:tab w:val="left" w:pos="709"/>
          <w:tab w:val="left" w:pos="993"/>
        </w:tabs>
        <w:suppressAutoHyphens/>
        <w:spacing w:before="60"/>
        <w:ind w:firstLine="567"/>
        <w:jc w:val="both"/>
      </w:pPr>
      <w:r w:rsidRPr="00F91E57">
        <w:tab/>
        <w:t xml:space="preserve">Требование о заключении соглашения о конфиденциальности не применяются в случаях передачи информации Центральному Банку Российской Федерации (в лице территориальных учреждений) и </w:t>
      </w:r>
      <w:proofErr w:type="gramStart"/>
      <w:r w:rsidRPr="00F91E57">
        <w:t>залоге</w:t>
      </w:r>
      <w:proofErr w:type="gramEnd"/>
      <w:r w:rsidRPr="00F91E57">
        <w:t xml:space="preserve"> Центральному Банку Российской Федерации (в лице территориальных учреждений) прав требований Кредитора по Соглашению в отношении выданных траншей Кредита».</w:t>
      </w:r>
    </w:p>
    <w:p w:rsidR="00E924DD" w:rsidRPr="00F91E57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</w:pPr>
      <w:r w:rsidRPr="00F91E57">
        <w:t>Изложить Приложение №1 к Договору в редакции Приложения №1 к Дополнению № 9.</w:t>
      </w:r>
    </w:p>
    <w:p w:rsidR="00E924DD" w:rsidRPr="00F91E57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</w:pPr>
      <w:r w:rsidRPr="00F91E57">
        <w:t>Изложить Приложение №2 к Договору в редакции Приложения №2 к Дополнению № 9.</w:t>
      </w:r>
    </w:p>
    <w:p w:rsidR="00E924DD" w:rsidRPr="00F91E57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</w:pPr>
      <w:r w:rsidRPr="00F91E57">
        <w:t>Все остальные условия Договора, не измененные настоящим Дополнением № 9, остаются в силе.</w:t>
      </w:r>
    </w:p>
    <w:p w:rsidR="00E924DD" w:rsidRPr="00F91E57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</w:pPr>
      <w:r w:rsidRPr="00F91E57">
        <w:t xml:space="preserve"> Настоящее Дополнение № 9 </w:t>
      </w:r>
      <w:proofErr w:type="gramStart"/>
      <w:r w:rsidRPr="00F91E57">
        <w:t>является неотъемлемой частью Договора и вступает</w:t>
      </w:r>
      <w:proofErr w:type="gramEnd"/>
      <w:r w:rsidRPr="00F91E57">
        <w:t xml:space="preserve"> в силу с момента его подписания уполномоченными представителями Сторон.</w:t>
      </w:r>
    </w:p>
    <w:p w:rsidR="00E924DD" w:rsidRPr="003B7E85" w:rsidRDefault="00E924DD" w:rsidP="00E924DD">
      <w:pPr>
        <w:pStyle w:val="a3"/>
        <w:widowControl w:val="0"/>
        <w:numPr>
          <w:ilvl w:val="0"/>
          <w:numId w:val="2"/>
        </w:numPr>
        <w:tabs>
          <w:tab w:val="left" w:pos="709"/>
          <w:tab w:val="left" w:pos="993"/>
        </w:tabs>
        <w:suppressAutoHyphens/>
        <w:spacing w:before="60" w:after="0"/>
        <w:ind w:firstLine="567"/>
        <w:jc w:val="both"/>
        <w:rPr>
          <w:b/>
        </w:rPr>
      </w:pPr>
      <w:r w:rsidRPr="003B7E85">
        <w:t xml:space="preserve"> Дополнение № 9 заключено в 2 (Двух) подлинных экземплярах, имеющих равную юридическую силу, по одному экземпляру для каждой из Сторон настоящего Договора.</w:t>
      </w:r>
    </w:p>
    <w:p w:rsidR="00E924DD" w:rsidRDefault="00E924DD" w:rsidP="00E924DD">
      <w:pPr>
        <w:pStyle w:val="a3"/>
        <w:tabs>
          <w:tab w:val="left" w:pos="709"/>
        </w:tabs>
        <w:spacing w:before="60"/>
        <w:rPr>
          <w:b/>
        </w:rPr>
      </w:pPr>
    </w:p>
    <w:p w:rsidR="00E924DD" w:rsidRPr="00F91E57" w:rsidRDefault="00E924DD" w:rsidP="00E924DD">
      <w:pPr>
        <w:pStyle w:val="a3"/>
        <w:tabs>
          <w:tab w:val="left" w:pos="709"/>
        </w:tabs>
        <w:spacing w:before="60"/>
        <w:rPr>
          <w:b/>
        </w:rPr>
      </w:pPr>
      <w:r w:rsidRPr="00F91E57">
        <w:rPr>
          <w:b/>
        </w:rPr>
        <w:t>ЮРИДИЧЕСКИЕ АДРЕСА И РЕКВИЗИТЫ СТОРОН:</w:t>
      </w:r>
    </w:p>
    <w:p w:rsidR="00E924DD" w:rsidRPr="00F91E57" w:rsidRDefault="00E924DD" w:rsidP="00E924DD">
      <w:pPr>
        <w:pStyle w:val="a3"/>
        <w:tabs>
          <w:tab w:val="left" w:pos="709"/>
        </w:tabs>
        <w:spacing w:before="60"/>
        <w:rPr>
          <w:b/>
        </w:rPr>
      </w:pPr>
    </w:p>
    <w:tbl>
      <w:tblPr>
        <w:tblW w:w="10679" w:type="dxa"/>
        <w:tblInd w:w="-648" w:type="dxa"/>
        <w:tblLayout w:type="fixed"/>
        <w:tblLook w:val="0000"/>
      </w:tblPr>
      <w:tblGrid>
        <w:gridCol w:w="472"/>
        <w:gridCol w:w="41"/>
        <w:gridCol w:w="135"/>
        <w:gridCol w:w="3762"/>
        <w:gridCol w:w="425"/>
        <w:gridCol w:w="316"/>
        <w:gridCol w:w="356"/>
        <w:gridCol w:w="803"/>
        <w:gridCol w:w="116"/>
        <w:gridCol w:w="1018"/>
        <w:gridCol w:w="116"/>
        <w:gridCol w:w="1244"/>
        <w:gridCol w:w="174"/>
        <w:gridCol w:w="1390"/>
        <w:gridCol w:w="311"/>
      </w:tblGrid>
      <w:tr w:rsidR="00E924DD" w:rsidRPr="00F91E57" w:rsidTr="00BD768A">
        <w:trPr>
          <w:gridBefore w:val="3"/>
          <w:gridAfter w:val="1"/>
          <w:wBefore w:w="648" w:type="dxa"/>
          <w:wAfter w:w="311" w:type="dxa"/>
          <w:trHeight w:val="430"/>
        </w:trPr>
        <w:tc>
          <w:tcPr>
            <w:tcW w:w="4859" w:type="dxa"/>
            <w:gridSpan w:val="4"/>
          </w:tcPr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  <w:rPr>
                <w:b/>
                <w:bCs/>
              </w:rPr>
            </w:pPr>
            <w:r w:rsidRPr="00F91E57">
              <w:rPr>
                <w:b/>
              </w:rPr>
              <w:t>Государственная корпорация</w:t>
            </w:r>
            <w:r w:rsidRPr="00F91E57">
              <w:rPr>
                <w:b/>
              </w:rPr>
              <w:br/>
              <w:t>«Банк развития и внешн</w:t>
            </w:r>
            <w:r w:rsidRPr="00F91E57">
              <w:rPr>
                <w:b/>
              </w:rPr>
              <w:t>е</w:t>
            </w:r>
            <w:r w:rsidRPr="00F91E57">
              <w:rPr>
                <w:b/>
              </w:rPr>
              <w:t>экономической деятельности (Внешэкономбанк)»</w:t>
            </w:r>
          </w:p>
        </w:tc>
        <w:tc>
          <w:tcPr>
            <w:tcW w:w="4861" w:type="dxa"/>
            <w:gridSpan w:val="7"/>
            <w:vAlign w:val="center"/>
          </w:tcPr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  <w:rPr>
                <w:b/>
              </w:rPr>
            </w:pPr>
            <w:r w:rsidRPr="00F91E57">
              <w:rPr>
                <w:b/>
              </w:rPr>
              <w:t>Открытое акционерное общ</w:t>
            </w:r>
            <w:r w:rsidRPr="00F91E57">
              <w:rPr>
                <w:b/>
              </w:rPr>
              <w:t>е</w:t>
            </w:r>
            <w:r w:rsidRPr="00F91E57">
              <w:rPr>
                <w:b/>
              </w:rPr>
              <w:t>ство</w:t>
            </w:r>
          </w:p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  <w:rPr>
                <w:b/>
              </w:rPr>
            </w:pPr>
            <w:r w:rsidRPr="00F91E57">
              <w:rPr>
                <w:b/>
              </w:rPr>
              <w:t>«КАМАЗ»</w:t>
            </w:r>
          </w:p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  <w:rPr>
                <w:b/>
              </w:rPr>
            </w:pPr>
          </w:p>
        </w:tc>
      </w:tr>
      <w:tr w:rsidR="00E924DD" w:rsidRPr="00F91E57" w:rsidTr="00BD768A">
        <w:trPr>
          <w:gridBefore w:val="3"/>
          <w:gridAfter w:val="1"/>
          <w:wBefore w:w="648" w:type="dxa"/>
          <w:wAfter w:w="311" w:type="dxa"/>
          <w:trHeight w:val="1969"/>
        </w:trPr>
        <w:tc>
          <w:tcPr>
            <w:tcW w:w="4859" w:type="dxa"/>
            <w:gridSpan w:val="4"/>
          </w:tcPr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</w:pPr>
            <w:r w:rsidRPr="00F91E57">
              <w:t>проспект Академика Сахарова, д. 9,</w:t>
            </w:r>
          </w:p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</w:pPr>
            <w:r w:rsidRPr="00F91E57">
              <w:t>г. Москва, 107996, Россия</w:t>
            </w:r>
          </w:p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</w:pPr>
            <w:r w:rsidRPr="00F91E57">
              <w:t>ОГРН 1077711000102, ИНН 7750004150,</w:t>
            </w:r>
          </w:p>
          <w:p w:rsidR="00E924DD" w:rsidRPr="00F91E57" w:rsidRDefault="00E924DD" w:rsidP="00BD768A">
            <w:pPr>
              <w:pStyle w:val="a5"/>
              <w:tabs>
                <w:tab w:val="left" w:pos="709"/>
              </w:tabs>
              <w:spacing w:before="60"/>
              <w:jc w:val="center"/>
            </w:pPr>
            <w:r w:rsidRPr="00F91E57">
              <w:t>КПП 775001001, БИК 044525060</w:t>
            </w:r>
          </w:p>
          <w:p w:rsidR="00E924DD" w:rsidRPr="00F91E57" w:rsidRDefault="00E924DD" w:rsidP="00E924DD">
            <w:pPr>
              <w:pStyle w:val="a5"/>
              <w:tabs>
                <w:tab w:val="left" w:pos="709"/>
              </w:tabs>
              <w:spacing w:before="60"/>
              <w:jc w:val="center"/>
            </w:pPr>
            <w:proofErr w:type="gramStart"/>
            <w:r w:rsidRPr="00F91E57">
              <w:t>к</w:t>
            </w:r>
            <w:proofErr w:type="gramEnd"/>
            <w:r w:rsidRPr="00F91E57">
              <w:t>/с № 30101810500000000060 в ОПЕРУ М</w:t>
            </w:r>
            <w:r w:rsidRPr="00F91E57">
              <w:t>о</w:t>
            </w:r>
            <w:r w:rsidRPr="00F91E57">
              <w:t>сква (БИК 044525000)</w:t>
            </w:r>
          </w:p>
        </w:tc>
        <w:tc>
          <w:tcPr>
            <w:tcW w:w="4861" w:type="dxa"/>
            <w:gridSpan w:val="7"/>
          </w:tcPr>
          <w:p w:rsidR="00E924DD" w:rsidRPr="00F91E57" w:rsidRDefault="00E924DD" w:rsidP="00BD768A">
            <w:pPr>
              <w:tabs>
                <w:tab w:val="left" w:pos="709"/>
              </w:tabs>
              <w:spacing w:before="60"/>
              <w:jc w:val="center"/>
              <w:rPr>
                <w:spacing w:val="2"/>
              </w:rPr>
            </w:pPr>
            <w:r w:rsidRPr="00F91E57">
              <w:rPr>
                <w:spacing w:val="2"/>
              </w:rPr>
              <w:t>423827, РФ, г. Набережные Че</w:t>
            </w:r>
            <w:r w:rsidRPr="00F91E57">
              <w:rPr>
                <w:spacing w:val="2"/>
              </w:rPr>
              <w:t>л</w:t>
            </w:r>
            <w:r w:rsidRPr="00F91E57">
              <w:rPr>
                <w:spacing w:val="2"/>
              </w:rPr>
              <w:t>ны,</w:t>
            </w:r>
          </w:p>
          <w:p w:rsidR="00E924DD" w:rsidRPr="00F91E57" w:rsidRDefault="00E924DD" w:rsidP="00BD768A">
            <w:pPr>
              <w:tabs>
                <w:tab w:val="left" w:pos="709"/>
              </w:tabs>
              <w:spacing w:before="60"/>
              <w:jc w:val="center"/>
              <w:rPr>
                <w:spacing w:val="2"/>
              </w:rPr>
            </w:pPr>
            <w:proofErr w:type="spellStart"/>
            <w:r w:rsidRPr="00F91E57">
              <w:rPr>
                <w:spacing w:val="2"/>
              </w:rPr>
              <w:t>пр-т</w:t>
            </w:r>
            <w:proofErr w:type="spellEnd"/>
            <w:r w:rsidRPr="00F91E57">
              <w:rPr>
                <w:spacing w:val="2"/>
              </w:rPr>
              <w:t xml:space="preserve"> Автозаводский, д. 2</w:t>
            </w:r>
          </w:p>
          <w:p w:rsidR="00E924DD" w:rsidRPr="001144FD" w:rsidRDefault="00E924DD" w:rsidP="00BD768A">
            <w:pPr>
              <w:pStyle w:val="4"/>
              <w:tabs>
                <w:tab w:val="left" w:pos="709"/>
              </w:tabs>
              <w:spacing w:before="60"/>
              <w:rPr>
                <w:b w:val="0"/>
                <w:bCs w:val="0"/>
                <w:i w:val="0"/>
                <w:sz w:val="24"/>
              </w:rPr>
            </w:pPr>
            <w:r w:rsidRPr="001144FD">
              <w:rPr>
                <w:b w:val="0"/>
                <w:i w:val="0"/>
                <w:sz w:val="24"/>
              </w:rPr>
              <w:t>ИНН/КПП 1650032058/997850001</w:t>
            </w:r>
          </w:p>
          <w:p w:rsidR="00E924DD" w:rsidRPr="001144FD" w:rsidRDefault="00E924DD" w:rsidP="00BD768A">
            <w:pPr>
              <w:pStyle w:val="4"/>
              <w:tabs>
                <w:tab w:val="left" w:pos="709"/>
              </w:tabs>
              <w:spacing w:before="60"/>
              <w:rPr>
                <w:bCs w:val="0"/>
                <w:spacing w:val="2"/>
                <w:sz w:val="24"/>
              </w:rPr>
            </w:pPr>
            <w:proofErr w:type="spellStart"/>
            <w:proofErr w:type="gramStart"/>
            <w:r w:rsidRPr="001144FD">
              <w:rPr>
                <w:b w:val="0"/>
                <w:i w:val="0"/>
                <w:sz w:val="24"/>
              </w:rPr>
              <w:t>р</w:t>
            </w:r>
            <w:proofErr w:type="spellEnd"/>
            <w:proofErr w:type="gramEnd"/>
            <w:r w:rsidRPr="001144FD">
              <w:rPr>
                <w:b w:val="0"/>
                <w:i w:val="0"/>
                <w:sz w:val="24"/>
              </w:rPr>
              <w:t xml:space="preserve">/с </w:t>
            </w:r>
            <w:r w:rsidRPr="001144FD">
              <w:rPr>
                <w:b w:val="0"/>
                <w:i w:val="0"/>
                <w:spacing w:val="2"/>
                <w:sz w:val="24"/>
              </w:rPr>
              <w:t>№ 40702810608977429927</w:t>
            </w:r>
          </w:p>
          <w:p w:rsidR="00E924DD" w:rsidRPr="00F91E57" w:rsidRDefault="00E924DD" w:rsidP="00BD768A">
            <w:pPr>
              <w:tabs>
                <w:tab w:val="left" w:pos="709"/>
              </w:tabs>
              <w:spacing w:before="60"/>
              <w:jc w:val="center"/>
            </w:pPr>
            <w:r w:rsidRPr="00F91E57">
              <w:t>во Внешэкономбанке</w:t>
            </w:r>
          </w:p>
          <w:p w:rsidR="00E924DD" w:rsidRPr="00F91E57" w:rsidRDefault="00E924DD" w:rsidP="00BD768A">
            <w:pPr>
              <w:pStyle w:val="a5"/>
              <w:widowControl w:val="0"/>
              <w:tabs>
                <w:tab w:val="left" w:pos="709"/>
              </w:tabs>
              <w:spacing w:before="60"/>
              <w:jc w:val="center"/>
            </w:pPr>
          </w:p>
        </w:tc>
      </w:tr>
      <w:tr w:rsidR="00E924DD" w:rsidRPr="00F91E57" w:rsidTr="00BD768A">
        <w:trPr>
          <w:gridBefore w:val="3"/>
          <w:gridAfter w:val="1"/>
          <w:wBefore w:w="648" w:type="dxa"/>
          <w:wAfter w:w="311" w:type="dxa"/>
          <w:trHeight w:val="405"/>
        </w:trPr>
        <w:tc>
          <w:tcPr>
            <w:tcW w:w="9720" w:type="dxa"/>
            <w:gridSpan w:val="11"/>
          </w:tcPr>
          <w:p w:rsidR="00E924DD" w:rsidRPr="00E924DD" w:rsidRDefault="00E924DD" w:rsidP="00E924DD">
            <w:pPr>
              <w:tabs>
                <w:tab w:val="left" w:pos="709"/>
              </w:tabs>
              <w:spacing w:before="60"/>
              <w:jc w:val="center"/>
              <w:rPr>
                <w:b/>
                <w:bCs/>
              </w:rPr>
            </w:pPr>
            <w:r w:rsidRPr="00F91E57">
              <w:rPr>
                <w:b/>
                <w:bCs/>
              </w:rPr>
              <w:t>ПОДПИСИ СТОРОН</w:t>
            </w:r>
          </w:p>
        </w:tc>
      </w:tr>
      <w:tr w:rsidR="00E924DD" w:rsidRPr="00F91E57" w:rsidTr="00BD768A">
        <w:trPr>
          <w:gridBefore w:val="3"/>
          <w:gridAfter w:val="1"/>
          <w:wBefore w:w="648" w:type="dxa"/>
          <w:wAfter w:w="311" w:type="dxa"/>
          <w:trHeight w:val="569"/>
        </w:trPr>
        <w:tc>
          <w:tcPr>
            <w:tcW w:w="4859" w:type="dxa"/>
            <w:gridSpan w:val="4"/>
          </w:tcPr>
          <w:p w:rsidR="00E924DD" w:rsidRPr="001144FD" w:rsidRDefault="00E924DD" w:rsidP="00BD768A">
            <w:pPr>
              <w:pStyle w:val="a3"/>
              <w:tabs>
                <w:tab w:val="left" w:pos="709"/>
              </w:tabs>
              <w:spacing w:before="60"/>
              <w:rPr>
                <w:b/>
                <w:color w:val="000000"/>
              </w:rPr>
            </w:pPr>
            <w:r w:rsidRPr="001144FD">
              <w:rPr>
                <w:b/>
                <w:color w:val="000000"/>
              </w:rPr>
              <w:t>от Залогодержателя:</w:t>
            </w:r>
          </w:p>
        </w:tc>
        <w:tc>
          <w:tcPr>
            <w:tcW w:w="4861" w:type="dxa"/>
            <w:gridSpan w:val="7"/>
          </w:tcPr>
          <w:p w:rsidR="00E924DD" w:rsidRPr="001144FD" w:rsidRDefault="00E924DD" w:rsidP="00BD768A">
            <w:pPr>
              <w:pStyle w:val="a3"/>
              <w:tabs>
                <w:tab w:val="left" w:pos="709"/>
              </w:tabs>
              <w:spacing w:before="60"/>
              <w:rPr>
                <w:b/>
                <w:color w:val="000000"/>
              </w:rPr>
            </w:pPr>
            <w:r w:rsidRPr="001144FD">
              <w:rPr>
                <w:b/>
                <w:color w:val="000000"/>
              </w:rPr>
              <w:t>от Залогодателя:</w:t>
            </w:r>
          </w:p>
        </w:tc>
      </w:tr>
      <w:tr w:rsidR="00E924DD" w:rsidRPr="00F91E57" w:rsidTr="00BD768A">
        <w:trPr>
          <w:gridBefore w:val="3"/>
          <w:gridAfter w:val="1"/>
          <w:wBefore w:w="648" w:type="dxa"/>
          <w:wAfter w:w="311" w:type="dxa"/>
          <w:trHeight w:val="179"/>
        </w:trPr>
        <w:tc>
          <w:tcPr>
            <w:tcW w:w="4859" w:type="dxa"/>
            <w:gridSpan w:val="4"/>
          </w:tcPr>
          <w:p w:rsidR="00E924DD" w:rsidRPr="001144FD" w:rsidRDefault="00E924DD" w:rsidP="00BD768A">
            <w:pPr>
              <w:pStyle w:val="a3"/>
              <w:tabs>
                <w:tab w:val="left" w:pos="709"/>
              </w:tabs>
              <w:spacing w:before="60"/>
            </w:pPr>
            <w:r w:rsidRPr="001144FD">
              <w:t>Директор Департамента сопровождения кредитных оп</w:t>
            </w:r>
            <w:r w:rsidRPr="001144FD">
              <w:t>е</w:t>
            </w:r>
            <w:r w:rsidRPr="001144FD">
              <w:t>раций</w:t>
            </w:r>
          </w:p>
          <w:p w:rsidR="00E924DD" w:rsidRPr="001144FD" w:rsidRDefault="00E924DD" w:rsidP="00BD768A">
            <w:pPr>
              <w:pStyle w:val="a3"/>
              <w:tabs>
                <w:tab w:val="left" w:pos="709"/>
              </w:tabs>
              <w:spacing w:before="60"/>
            </w:pPr>
            <w:r w:rsidRPr="001144FD">
              <w:t>____________________</w:t>
            </w:r>
          </w:p>
          <w:p w:rsidR="00E924DD" w:rsidRPr="00F91E57" w:rsidRDefault="00E924DD" w:rsidP="00E924DD">
            <w:pPr>
              <w:tabs>
                <w:tab w:val="left" w:pos="709"/>
              </w:tabs>
              <w:spacing w:before="60"/>
            </w:pPr>
            <w:r w:rsidRPr="00F91E57">
              <w:rPr>
                <w:bCs/>
              </w:rPr>
              <w:t>И.Н. Логинов</w:t>
            </w:r>
          </w:p>
        </w:tc>
        <w:tc>
          <w:tcPr>
            <w:tcW w:w="4861" w:type="dxa"/>
            <w:gridSpan w:val="7"/>
          </w:tcPr>
          <w:p w:rsidR="00E924DD" w:rsidRPr="00F91E57" w:rsidRDefault="00E924DD" w:rsidP="00BD768A">
            <w:pPr>
              <w:tabs>
                <w:tab w:val="left" w:pos="709"/>
              </w:tabs>
              <w:spacing w:before="60"/>
              <w:jc w:val="center"/>
            </w:pPr>
            <w:r w:rsidRPr="00F91E57">
              <w:t>Доверенное лицо</w:t>
            </w:r>
          </w:p>
          <w:p w:rsidR="00E924DD" w:rsidRDefault="00E924DD" w:rsidP="00BD768A">
            <w:pPr>
              <w:tabs>
                <w:tab w:val="left" w:pos="709"/>
              </w:tabs>
              <w:spacing w:before="60"/>
              <w:jc w:val="center"/>
            </w:pPr>
          </w:p>
          <w:p w:rsidR="00E924DD" w:rsidRPr="00F91E57" w:rsidRDefault="00E924DD" w:rsidP="00BD768A">
            <w:pPr>
              <w:tabs>
                <w:tab w:val="left" w:pos="709"/>
              </w:tabs>
              <w:spacing w:before="60"/>
              <w:jc w:val="center"/>
            </w:pPr>
            <w:r w:rsidRPr="00F91E57">
              <w:t>_______________________</w:t>
            </w:r>
          </w:p>
          <w:p w:rsidR="00E924DD" w:rsidRPr="00F91E57" w:rsidRDefault="00E924DD" w:rsidP="00BD768A">
            <w:pPr>
              <w:tabs>
                <w:tab w:val="left" w:pos="709"/>
              </w:tabs>
              <w:spacing w:before="60"/>
              <w:jc w:val="center"/>
            </w:pPr>
            <w:r w:rsidRPr="00F91E57">
              <w:t>С.Г. Саттаров</w:t>
            </w:r>
          </w:p>
        </w:tc>
      </w:tr>
      <w:tr w:rsidR="00E924DD" w:rsidTr="00BD768A">
        <w:tblPrEx>
          <w:tblLook w:val="04A0"/>
        </w:tblPrEx>
        <w:trPr>
          <w:trHeight w:val="765"/>
        </w:trPr>
        <w:tc>
          <w:tcPr>
            <w:tcW w:w="1067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bookmarkStart w:id="1" w:name="RANGE!A1:G40"/>
            <w:r w:rsidRPr="000B1D95">
              <w:rPr>
                <w:b/>
                <w:bCs/>
                <w:color w:val="000000"/>
                <w:sz w:val="16"/>
                <w:szCs w:val="16"/>
              </w:rPr>
              <w:t>Приложение №1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0B1D95">
              <w:rPr>
                <w:b/>
                <w:bCs/>
                <w:color w:val="000000"/>
                <w:sz w:val="16"/>
                <w:szCs w:val="16"/>
              </w:rPr>
              <w:t>к Дополнению № 9 от "___" ______________ 201</w:t>
            </w:r>
            <w:r>
              <w:rPr>
                <w:b/>
                <w:bCs/>
                <w:color w:val="000000"/>
                <w:sz w:val="16"/>
                <w:szCs w:val="16"/>
              </w:rPr>
              <w:t>_</w:t>
            </w:r>
            <w:r w:rsidRPr="000B1D95">
              <w:rPr>
                <w:b/>
                <w:bCs/>
                <w:color w:val="000000"/>
                <w:sz w:val="16"/>
                <w:szCs w:val="16"/>
              </w:rPr>
              <w:t xml:space="preserve">г. </w:t>
            </w:r>
            <w:r w:rsidRPr="000B1D95">
              <w:rPr>
                <w:b/>
                <w:bCs/>
                <w:color w:val="000000"/>
                <w:sz w:val="16"/>
                <w:szCs w:val="16"/>
              </w:rPr>
              <w:br/>
              <w:t>к Договору залога движимого имущества № 110200/1103-ДЗ/2 от "30" августа 2011 года.</w:t>
            </w:r>
            <w:bookmarkEnd w:id="1"/>
          </w:p>
        </w:tc>
      </w:tr>
      <w:tr w:rsidR="00E924DD" w:rsidTr="00BD768A">
        <w:tblPrEx>
          <w:tblLook w:val="04A0"/>
        </w:tblPrEx>
        <w:trPr>
          <w:trHeight w:val="570"/>
        </w:trPr>
        <w:tc>
          <w:tcPr>
            <w:tcW w:w="10679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Приложение №1 к Договору залога движимого имущества № 110200/1103-ДЗ/2 от "30" августа 2011 года между Государственной корпорацией "Банк развития и внешнеэкономической деятельности (Внешэкономбанк) и Открытым акционерным обществом "КАМАЗ".</w:t>
            </w:r>
          </w:p>
        </w:tc>
      </w:tr>
      <w:tr w:rsidR="00E924DD" w:rsidTr="00BD768A">
        <w:tblPrEx>
          <w:tblLook w:val="04A0"/>
        </w:tblPrEx>
        <w:trPr>
          <w:trHeight w:val="525"/>
        </w:trPr>
        <w:tc>
          <w:tcPr>
            <w:tcW w:w="106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Перечень имущества, передаваемого в залог</w:t>
            </w:r>
          </w:p>
        </w:tc>
      </w:tr>
      <w:tr w:rsidR="00E924DD" w:rsidTr="00BD768A">
        <w:tblPrEx>
          <w:tblLook w:val="04A0"/>
        </w:tblPrEx>
        <w:trPr>
          <w:trHeight w:val="1215"/>
        </w:trPr>
        <w:tc>
          <w:tcPr>
            <w:tcW w:w="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Полное наименование имущества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Номер и дата Договора поставки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Поставщик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Стоимость (без НДС), евро.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Залоговая стоимость (с дисконтом 20%), евро.</w:t>
            </w:r>
          </w:p>
        </w:tc>
      </w:tr>
      <w:tr w:rsidR="00E924DD" w:rsidTr="00BD768A">
        <w:tblPrEx>
          <w:tblLook w:val="04A0"/>
        </w:tblPrEx>
        <w:trPr>
          <w:trHeight w:val="780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7D10CE" w:rsidRDefault="00E924DD" w:rsidP="00BD768A">
            <w:pPr>
              <w:jc w:val="center"/>
              <w:rPr>
                <w:rFonts w:ascii="Calibri" w:hAnsi="Calibri"/>
                <w:bCs/>
                <w:color w:val="000000"/>
                <w:sz w:val="16"/>
                <w:szCs w:val="16"/>
              </w:rPr>
            </w:pPr>
            <w:r w:rsidRPr="007D10CE">
              <w:rPr>
                <w:rFonts w:ascii="Calibri" w:hAnsi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Печной комплекс среднечастотная индукционная тигельная плавильная установка с преобразователем частоты для плавки чугуна, тип: 2МFTGe 25.000/15.000 кВт/250 Гц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Контракт №276/00231515/11082 от 20.07.2011г. 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фирма «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Otto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Junker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GmbH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>» Германия.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 3 625 423,73   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2 900 338,98</w:t>
            </w: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среднечастотная индукционная тигельная печь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гидравлическая станция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51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среднечастотный преобразователь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B1D95">
              <w:rPr>
                <w:color w:val="000000"/>
                <w:sz w:val="16"/>
                <w:szCs w:val="16"/>
              </w:rPr>
              <w:t>колебательного</w:t>
            </w:r>
            <w:proofErr w:type="gramEnd"/>
            <w:r w:rsidRPr="000B1D9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контура-DUOMELT</w:t>
            </w:r>
            <w:proofErr w:type="spellEnd"/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модуль конденсаторов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панель управления с процессором плавки JOKS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трансформатор для питания выпрямителей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система защиты приямков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гидравлическая наклонная платформа для скачки шлака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31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вытяжной колпак, откидываемый гидравлически в двух направлениях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устройства взвешивания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устройство корректировки угла наклона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устройство аварийного наклона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система выталкивания тигля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подовый и стеновой вибратор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чаши обратного залива жидкого металла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7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гидравлический подвижной передаточный желоб для жидкого металла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528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установка </w:t>
            </w:r>
            <w:proofErr w:type="gramStart"/>
            <w:r w:rsidRPr="000B1D95">
              <w:rPr>
                <w:color w:val="000000"/>
                <w:sz w:val="16"/>
                <w:szCs w:val="16"/>
              </w:rPr>
              <w:t>оборотного</w:t>
            </w:r>
            <w:proofErr w:type="gramEnd"/>
            <w:r w:rsidRPr="000B1D9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водоохлаждения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в исполнении "вода/вода" -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B1D95">
              <w:rPr>
                <w:color w:val="000000"/>
                <w:sz w:val="16"/>
                <w:szCs w:val="16"/>
              </w:rPr>
              <w:t>контур печи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58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установка оборотного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водоохлаждения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в исполнении "вода/вода" </w:t>
            </w:r>
            <w:proofErr w:type="gramStart"/>
            <w:r w:rsidRPr="000B1D95">
              <w:rPr>
                <w:color w:val="000000"/>
                <w:sz w:val="16"/>
                <w:szCs w:val="16"/>
              </w:rPr>
              <w:t>-к</w:t>
            </w:r>
            <w:proofErr w:type="gramEnd"/>
            <w:r w:rsidRPr="000B1D95">
              <w:rPr>
                <w:color w:val="000000"/>
                <w:sz w:val="16"/>
                <w:szCs w:val="16"/>
              </w:rPr>
              <w:t>онтур распределительного устройства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мобильная система очистки воды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устройство измерения температуры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загрузочные тележки (25 т)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система ОСР (Оптическая Защита Катушки) -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0B1D95">
              <w:rPr>
                <w:color w:val="000000"/>
                <w:sz w:val="16"/>
                <w:szCs w:val="16"/>
              </w:rPr>
              <w:t>на 2 печи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система подготовки шихты для печи с дистанционным управлением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58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3 625 423,73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2 900 338,98</w:t>
            </w: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615"/>
        </w:trPr>
        <w:tc>
          <w:tcPr>
            <w:tcW w:w="1067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Залоговая стоимость Имущества, приведенного в настоящем Приложении № 1, определяется исходя из цены Имущества по Договорам поставки без учета НДС, с применением дисконта 20 %</w:t>
            </w:r>
          </w:p>
        </w:tc>
      </w:tr>
      <w:tr w:rsidR="00E924DD" w:rsidTr="00BD768A">
        <w:tblPrEx>
          <w:tblLook w:val="04A0"/>
        </w:tblPrEx>
        <w:trPr>
          <w:trHeight w:val="300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За Залогодержателя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За Залогодателя</w:t>
            </w:r>
          </w:p>
        </w:tc>
      </w:tr>
      <w:tr w:rsidR="00E924DD" w:rsidTr="00BD768A">
        <w:tblPrEx>
          <w:tblLook w:val="04A0"/>
        </w:tblPrEx>
        <w:trPr>
          <w:trHeight w:val="240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88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Директор Департамента сопровождения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кре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Доверенное лицо</w:t>
            </w:r>
          </w:p>
        </w:tc>
      </w:tr>
      <w:tr w:rsidR="00E924DD" w:rsidTr="00BD768A">
        <w:tblPrEx>
          <w:tblLook w:val="04A0"/>
        </w:tblPrEx>
        <w:trPr>
          <w:trHeight w:val="270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0B1D95">
              <w:rPr>
                <w:color w:val="000000"/>
                <w:sz w:val="16"/>
                <w:szCs w:val="16"/>
              </w:rPr>
              <w:t>дитных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операций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70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E924DD" w:rsidTr="00BD768A">
        <w:tblPrEx>
          <w:tblLook w:val="04A0"/>
        </w:tblPrEx>
        <w:trPr>
          <w:trHeight w:val="264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__________________________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_________________________________</w:t>
            </w:r>
          </w:p>
        </w:tc>
      </w:tr>
      <w:tr w:rsidR="00E924DD" w:rsidTr="00BD768A">
        <w:tblPrEx>
          <w:tblLook w:val="04A0"/>
        </w:tblPrEx>
        <w:trPr>
          <w:trHeight w:val="300"/>
        </w:trPr>
        <w:tc>
          <w:tcPr>
            <w:tcW w:w="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Логинов И.Н.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Саттаров С.Г.</w:t>
            </w:r>
          </w:p>
        </w:tc>
      </w:tr>
    </w:tbl>
    <w:p w:rsidR="00E924DD" w:rsidRPr="000B1D95" w:rsidRDefault="00E924DD" w:rsidP="00E924DD">
      <w:pPr>
        <w:jc w:val="both"/>
        <w:rPr>
          <w:szCs w:val="28"/>
        </w:rPr>
      </w:pPr>
    </w:p>
    <w:p w:rsidR="00E924DD" w:rsidRDefault="00E924DD" w:rsidP="00E924DD">
      <w:pPr>
        <w:ind w:left="5954"/>
        <w:rPr>
          <w:szCs w:val="28"/>
        </w:rPr>
      </w:pPr>
      <w:r>
        <w:rPr>
          <w:szCs w:val="28"/>
        </w:rPr>
        <w:br w:type="page"/>
      </w:r>
    </w:p>
    <w:tbl>
      <w:tblPr>
        <w:tblW w:w="10747" w:type="dxa"/>
        <w:tblInd w:w="-716" w:type="dxa"/>
        <w:tblLayout w:type="fixed"/>
        <w:tblLook w:val="04A0"/>
      </w:tblPr>
      <w:tblGrid>
        <w:gridCol w:w="299"/>
        <w:gridCol w:w="99"/>
        <w:gridCol w:w="1419"/>
        <w:gridCol w:w="649"/>
        <w:gridCol w:w="59"/>
        <w:gridCol w:w="366"/>
        <w:gridCol w:w="910"/>
        <w:gridCol w:w="42"/>
        <w:gridCol w:w="708"/>
        <w:gridCol w:w="101"/>
        <w:gridCol w:w="466"/>
        <w:gridCol w:w="242"/>
        <w:gridCol w:w="1276"/>
        <w:gridCol w:w="325"/>
        <w:gridCol w:w="384"/>
        <w:gridCol w:w="749"/>
        <w:gridCol w:w="101"/>
        <w:gridCol w:w="608"/>
        <w:gridCol w:w="668"/>
        <w:gridCol w:w="708"/>
        <w:gridCol w:w="326"/>
        <w:gridCol w:w="236"/>
        <w:gridCol w:w="6"/>
      </w:tblGrid>
      <w:tr w:rsidR="00E924DD" w:rsidRPr="00736E2A" w:rsidTr="00BD768A">
        <w:trPr>
          <w:trHeight w:val="765"/>
        </w:trPr>
        <w:tc>
          <w:tcPr>
            <w:tcW w:w="10747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736E2A" w:rsidRDefault="00E924DD" w:rsidP="00BD768A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bookmarkStart w:id="2" w:name="RANGE!A1:K28"/>
            <w:r w:rsidRPr="00736E2A">
              <w:rPr>
                <w:b/>
                <w:bCs/>
                <w:color w:val="000000"/>
                <w:sz w:val="16"/>
                <w:szCs w:val="16"/>
              </w:rPr>
              <w:t>Приложение №2  к Дополнению</w:t>
            </w:r>
            <w:r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36E2A">
              <w:rPr>
                <w:b/>
                <w:bCs/>
                <w:color w:val="000000"/>
                <w:sz w:val="16"/>
                <w:szCs w:val="16"/>
              </w:rPr>
              <w:t>№ 9 от "___" _______________ 201</w:t>
            </w:r>
            <w:r>
              <w:rPr>
                <w:b/>
                <w:bCs/>
                <w:color w:val="000000"/>
                <w:sz w:val="16"/>
                <w:szCs w:val="16"/>
              </w:rPr>
              <w:t>_</w:t>
            </w:r>
            <w:r w:rsidRPr="00736E2A">
              <w:rPr>
                <w:b/>
                <w:bCs/>
                <w:color w:val="000000"/>
                <w:sz w:val="16"/>
                <w:szCs w:val="16"/>
              </w:rPr>
              <w:t xml:space="preserve">г. </w:t>
            </w:r>
            <w:r w:rsidRPr="00736E2A">
              <w:rPr>
                <w:b/>
                <w:bCs/>
                <w:color w:val="000000"/>
                <w:sz w:val="16"/>
                <w:szCs w:val="16"/>
              </w:rPr>
              <w:br/>
              <w:t>к Договору залога движимого имущества № 110200/1103-ДЗ/2 от "30" августа 2011г.</w:t>
            </w:r>
            <w:bookmarkEnd w:id="2"/>
          </w:p>
        </w:tc>
      </w:tr>
      <w:tr w:rsidR="00E924DD" w:rsidTr="00BD768A">
        <w:trPr>
          <w:trHeight w:val="405"/>
        </w:trPr>
        <w:tc>
          <w:tcPr>
            <w:tcW w:w="10747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Приложение №2 к Договору залога движимого имущества № 110200/1103-ДЗ/2 от "30" августа 2011г</w:t>
            </w:r>
            <w:proofErr w:type="gramStart"/>
            <w:r w:rsidRPr="000B1D95">
              <w:rPr>
                <w:color w:val="000000"/>
                <w:sz w:val="16"/>
                <w:szCs w:val="16"/>
              </w:rPr>
              <w:t>.м</w:t>
            </w:r>
            <w:proofErr w:type="gramEnd"/>
            <w:r w:rsidRPr="000B1D95">
              <w:rPr>
                <w:color w:val="000000"/>
                <w:sz w:val="16"/>
                <w:szCs w:val="16"/>
              </w:rPr>
              <w:t>ежду Государственной корпорацией "Банк развития и внешнеэкономической деятельности (Внешэкономбанк) и Открытым акционерным обществом "КАМАЗ".</w:t>
            </w:r>
          </w:p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924DD" w:rsidTr="00BD768A">
        <w:trPr>
          <w:trHeight w:val="525"/>
        </w:trPr>
        <w:tc>
          <w:tcPr>
            <w:tcW w:w="10747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Перечень имущества, передаваемого в залог</w:t>
            </w:r>
          </w:p>
        </w:tc>
      </w:tr>
      <w:tr w:rsidR="00E924DD" w:rsidRPr="000B1D95" w:rsidTr="00BD768A">
        <w:trPr>
          <w:trHeight w:val="1215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Полное наименование имущества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производитель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 xml:space="preserve"> страна изготовитель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 xml:space="preserve"> год изготовления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Месторасположение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7D10CE" w:rsidRDefault="00E924DD" w:rsidP="00BD768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7D10CE">
              <w:rPr>
                <w:b/>
                <w:bCs/>
                <w:color w:val="000000"/>
                <w:sz w:val="14"/>
                <w:szCs w:val="14"/>
              </w:rPr>
              <w:t>Инвентарный №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7D10CE" w:rsidRDefault="00E924DD" w:rsidP="00BD768A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7D10CE">
              <w:rPr>
                <w:b/>
                <w:bCs/>
                <w:color w:val="000000"/>
                <w:sz w:val="14"/>
                <w:szCs w:val="14"/>
              </w:rPr>
              <w:t>Заводской номер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Балансовая (остаточная) стоимость, руб.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sz w:val="16"/>
                <w:szCs w:val="16"/>
              </w:rPr>
            </w:pPr>
            <w:r w:rsidRPr="000B1D95">
              <w:rPr>
                <w:b/>
                <w:bCs/>
                <w:sz w:val="16"/>
                <w:szCs w:val="16"/>
              </w:rPr>
              <w:t>Залоговая стоимость (с дисконтом 20%), руб.</w:t>
            </w:r>
          </w:p>
        </w:tc>
      </w:tr>
      <w:tr w:rsidR="00E924DD" w:rsidRPr="000B1D95" w:rsidTr="00BD768A">
        <w:trPr>
          <w:trHeight w:val="848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 4 338 983,05</w:t>
            </w:r>
          </w:p>
        </w:tc>
      </w:tr>
      <w:tr w:rsidR="00E924DD" w:rsidRPr="000B1D95" w:rsidTr="00BD768A">
        <w:trPr>
          <w:trHeight w:val="114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 4 338 983,05</w:t>
            </w:r>
          </w:p>
        </w:tc>
      </w:tr>
      <w:tr w:rsidR="00E924DD" w:rsidRPr="000B1D95" w:rsidTr="00BD768A">
        <w:trPr>
          <w:trHeight w:val="126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 4 338 983,05</w:t>
            </w:r>
          </w:p>
        </w:tc>
      </w:tr>
      <w:tr w:rsidR="00E924DD" w:rsidRPr="000B1D95" w:rsidTr="00BD768A">
        <w:trPr>
          <w:trHeight w:val="1305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4 338 983,05</w:t>
            </w:r>
          </w:p>
        </w:tc>
      </w:tr>
      <w:tr w:rsidR="00E924DD" w:rsidRPr="000B1D95" w:rsidTr="00BD768A">
        <w:trPr>
          <w:trHeight w:val="135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4 338 983,05</w:t>
            </w:r>
          </w:p>
        </w:tc>
      </w:tr>
      <w:tr w:rsidR="00E924DD" w:rsidRPr="000B1D95" w:rsidTr="00BD768A">
        <w:trPr>
          <w:trHeight w:val="132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6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4 338 983,05</w:t>
            </w:r>
          </w:p>
        </w:tc>
      </w:tr>
      <w:tr w:rsidR="00E924DD" w:rsidRPr="000B1D95" w:rsidTr="00BD768A">
        <w:trPr>
          <w:trHeight w:val="11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7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Специальный токарный станок с числовым программным управлением, модель UT-200G </w:t>
            </w:r>
            <w:proofErr w:type="gramStart"/>
            <w:r w:rsidRPr="000B1D95">
              <w:rPr>
                <w:sz w:val="16"/>
                <w:szCs w:val="16"/>
              </w:rPr>
              <w:t>спец</w:t>
            </w:r>
            <w:proofErr w:type="gramEnd"/>
            <w:r w:rsidRPr="000B1D95">
              <w:rPr>
                <w:sz w:val="16"/>
                <w:szCs w:val="16"/>
              </w:rPr>
              <w:t>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компания "ACCUWEY MACHINERY"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Тайвань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2011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Металлургический комплекс литейный завод производство чугунного литья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239978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9353279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5 423 728,81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 4 338 983,05</w:t>
            </w:r>
          </w:p>
        </w:tc>
      </w:tr>
      <w:tr w:rsidR="00E924DD" w:rsidRPr="000B1D95" w:rsidTr="00BD768A">
        <w:trPr>
          <w:trHeight w:val="11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Автоматический шлифовальный станок </w:t>
            </w:r>
            <w:proofErr w:type="spellStart"/>
            <w:r w:rsidRPr="000B1D95">
              <w:rPr>
                <w:sz w:val="16"/>
                <w:szCs w:val="16"/>
              </w:rPr>
              <w:t>Koyama</w:t>
            </w:r>
            <w:proofErr w:type="spellEnd"/>
            <w:r w:rsidRPr="000B1D95">
              <w:rPr>
                <w:sz w:val="16"/>
                <w:szCs w:val="16"/>
              </w:rPr>
              <w:t xml:space="preserve"> модель 500 ТТ-ХХХ</w:t>
            </w:r>
            <w:proofErr w:type="gramStart"/>
            <w:r w:rsidRPr="000B1D95">
              <w:rPr>
                <w:sz w:val="16"/>
                <w:szCs w:val="16"/>
              </w:rPr>
              <w:t>L</w:t>
            </w:r>
            <w:proofErr w:type="gramEnd"/>
            <w:r w:rsidRPr="000B1D95">
              <w:rPr>
                <w:sz w:val="16"/>
                <w:szCs w:val="16"/>
              </w:rPr>
              <w:t xml:space="preserve"> для зачистки отливок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  <w:lang w:val="en-US"/>
              </w:rPr>
            </w:pPr>
            <w:r w:rsidRPr="000B1D95">
              <w:rPr>
                <w:sz w:val="16"/>
                <w:szCs w:val="16"/>
              </w:rPr>
              <w:t>компания</w:t>
            </w:r>
            <w:r w:rsidRPr="000B1D95">
              <w:rPr>
                <w:sz w:val="16"/>
                <w:szCs w:val="16"/>
                <w:lang w:val="en-US"/>
              </w:rPr>
              <w:t xml:space="preserve"> "P.S. Auto Grinding Ltd"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Великобритания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Литейный завод ОАО "КАМАЗ"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240002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11-2268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24 066 922,68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19 253</w:t>
            </w:r>
            <w:r w:rsidRPr="000B1D95">
              <w:rPr>
                <w:sz w:val="16"/>
                <w:szCs w:val="16"/>
              </w:rPr>
              <w:t>538,14</w:t>
            </w:r>
          </w:p>
        </w:tc>
      </w:tr>
      <w:tr w:rsidR="00E924DD" w:rsidRPr="000B1D95" w:rsidTr="00BD768A">
        <w:trPr>
          <w:trHeight w:val="117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9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Части формовочной линии "</w:t>
            </w:r>
            <w:proofErr w:type="spellStart"/>
            <w:r w:rsidRPr="000B1D95">
              <w:rPr>
                <w:sz w:val="16"/>
                <w:szCs w:val="16"/>
              </w:rPr>
              <w:t>Сеатцу</w:t>
            </w:r>
            <w:proofErr w:type="spellEnd"/>
            <w:r w:rsidRPr="000B1D95">
              <w:rPr>
                <w:sz w:val="16"/>
                <w:szCs w:val="16"/>
              </w:rPr>
              <w:t>" тип "KFA-SD" 6,5", №10777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компания "Генрих Вагнер Синто </w:t>
            </w:r>
            <w:proofErr w:type="spellStart"/>
            <w:r w:rsidRPr="000B1D95">
              <w:rPr>
                <w:sz w:val="16"/>
                <w:szCs w:val="16"/>
              </w:rPr>
              <w:t>Машиненфабрик</w:t>
            </w:r>
            <w:proofErr w:type="spellEnd"/>
            <w:r w:rsidRPr="000B1D95">
              <w:rPr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sz w:val="16"/>
                <w:szCs w:val="16"/>
              </w:rPr>
              <w:t>ГмбХ</w:t>
            </w:r>
            <w:proofErr w:type="spellEnd"/>
            <w:r w:rsidRPr="000B1D95">
              <w:rPr>
                <w:sz w:val="16"/>
                <w:szCs w:val="16"/>
              </w:rPr>
              <w:t>"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Германия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Литейный завод ОАО "КАМАЗ"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239549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10777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216 580 751,62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173264</w:t>
            </w:r>
            <w:r w:rsidRPr="000B1D95">
              <w:rPr>
                <w:sz w:val="16"/>
                <w:szCs w:val="16"/>
              </w:rPr>
              <w:t>601,30</w:t>
            </w:r>
          </w:p>
        </w:tc>
      </w:tr>
      <w:tr w:rsidR="00E924DD" w:rsidRPr="000B1D95" w:rsidTr="00BD768A">
        <w:trPr>
          <w:trHeight w:val="639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Оптический эмиссионный спектрометр OBLF GS 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компания "OBLF"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Германия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Литейный завод ОАО "КАМАЗ"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338590001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1714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3 755 939,00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3 004 751,20</w:t>
            </w:r>
          </w:p>
        </w:tc>
      </w:tr>
      <w:tr w:rsidR="00E924DD" w:rsidRPr="000B1D95" w:rsidTr="00BD768A">
        <w:trPr>
          <w:trHeight w:val="552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Ручной напольный абразивный отрезной станок "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Delta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2213 М"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BUEHLER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Германия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2012 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Литейный завод ОАО "КАМАЗ"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240014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706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1 378 813,64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0B1D95">
              <w:rPr>
                <w:sz w:val="16"/>
                <w:szCs w:val="16"/>
              </w:rPr>
              <w:t>1 103 050,91</w:t>
            </w:r>
          </w:p>
        </w:tc>
      </w:tr>
      <w:tr w:rsidR="00E924DD" w:rsidRPr="000B1D95" w:rsidTr="00BD768A">
        <w:trPr>
          <w:trHeight w:val="888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Индукционная подогреваемая разливочная печь для выдержки и разливки чугуна с системой управления стопором, тип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RGDGe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10.000/350 кВт.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фирма «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Otto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Junker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GmbH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»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Германия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Литейный завод ОАО "КАМАЗ"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240067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5303CB" w:rsidRDefault="00E924DD" w:rsidP="00E924DD">
            <w:pPr>
              <w:jc w:val="center"/>
              <w:rPr>
                <w:color w:val="000000"/>
                <w:sz w:val="14"/>
                <w:szCs w:val="14"/>
              </w:rPr>
            </w:pPr>
            <w:r w:rsidRPr="005303CB">
              <w:rPr>
                <w:color w:val="000000"/>
                <w:sz w:val="14"/>
                <w:szCs w:val="14"/>
              </w:rPr>
              <w:t>WA34661</w:t>
            </w:r>
          </w:p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 45 646 155,03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36 516 </w:t>
            </w:r>
            <w:r w:rsidRPr="000B1D95">
              <w:rPr>
                <w:sz w:val="16"/>
                <w:szCs w:val="16"/>
              </w:rPr>
              <w:t>924,02</w:t>
            </w:r>
          </w:p>
        </w:tc>
      </w:tr>
      <w:tr w:rsidR="00E924DD" w:rsidRPr="000B1D95" w:rsidTr="00BD768A">
        <w:trPr>
          <w:trHeight w:val="852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13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 xml:space="preserve">Установка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Disa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для приготовления </w:t>
            </w:r>
            <w:proofErr w:type="spellStart"/>
            <w:r w:rsidRPr="000B1D95">
              <w:rPr>
                <w:color w:val="000000"/>
                <w:sz w:val="16"/>
                <w:szCs w:val="16"/>
              </w:rPr>
              <w:t>бетонитовых</w:t>
            </w:r>
            <w:proofErr w:type="spellEnd"/>
            <w:r w:rsidRPr="000B1D95">
              <w:rPr>
                <w:color w:val="000000"/>
                <w:sz w:val="16"/>
                <w:szCs w:val="16"/>
              </w:rPr>
              <w:t xml:space="preserve"> формовочных смесей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 w:rsidRPr="000B1D95">
              <w:rPr>
                <w:color w:val="000000"/>
                <w:sz w:val="16"/>
                <w:szCs w:val="16"/>
              </w:rPr>
              <w:t>фирма</w:t>
            </w:r>
            <w:r w:rsidRPr="000B1D95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0B1D95">
              <w:rPr>
                <w:color w:val="000000"/>
                <w:sz w:val="16"/>
                <w:szCs w:val="16"/>
                <w:lang w:val="en-US"/>
              </w:rPr>
              <w:br/>
              <w:t>«</w:t>
            </w:r>
            <w:proofErr w:type="spellStart"/>
            <w:r w:rsidRPr="000B1D95">
              <w:rPr>
                <w:color w:val="000000"/>
                <w:sz w:val="16"/>
                <w:szCs w:val="16"/>
                <w:lang w:val="en-US"/>
              </w:rPr>
              <w:t>Disa</w:t>
            </w:r>
            <w:proofErr w:type="spellEnd"/>
            <w:r w:rsidRPr="000B1D95">
              <w:rPr>
                <w:color w:val="000000"/>
                <w:sz w:val="16"/>
                <w:szCs w:val="16"/>
                <w:lang w:val="en-US"/>
              </w:rPr>
              <w:t xml:space="preserve"> industries, </w:t>
            </w:r>
            <w:r w:rsidRPr="000B1D95">
              <w:rPr>
                <w:color w:val="000000"/>
                <w:sz w:val="16"/>
                <w:szCs w:val="16"/>
              </w:rPr>
              <w:t>А</w:t>
            </w:r>
            <w:r w:rsidRPr="000B1D95">
              <w:rPr>
                <w:color w:val="000000"/>
                <w:sz w:val="16"/>
                <w:szCs w:val="16"/>
                <w:lang w:val="en-US"/>
              </w:rPr>
              <w:t xml:space="preserve">/S»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Дания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2012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Литейный завод ОАО "КАМАЗ"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240066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4DD" w:rsidRPr="00914F81" w:rsidRDefault="00E924DD" w:rsidP="00E924DD">
            <w:pPr>
              <w:jc w:val="center"/>
              <w:rPr>
                <w:color w:val="000000"/>
                <w:sz w:val="16"/>
                <w:szCs w:val="16"/>
              </w:rPr>
            </w:pPr>
            <w:r w:rsidRPr="00914F81">
              <w:rPr>
                <w:color w:val="000000"/>
                <w:sz w:val="16"/>
                <w:szCs w:val="16"/>
              </w:rPr>
              <w:t>400084</w:t>
            </w:r>
          </w:p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120 219 457,54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96 175 </w:t>
            </w:r>
            <w:r w:rsidRPr="000B1D95">
              <w:rPr>
                <w:sz w:val="16"/>
                <w:szCs w:val="16"/>
              </w:rPr>
              <w:t>566,03</w:t>
            </w:r>
          </w:p>
        </w:tc>
      </w:tr>
      <w:tr w:rsidR="00E924DD" w:rsidRPr="000B1D95" w:rsidTr="00BD768A">
        <w:trPr>
          <w:trHeight w:val="468"/>
        </w:trPr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E924D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/>
                <w:bCs/>
                <w:color w:val="000000"/>
                <w:sz w:val="16"/>
                <w:szCs w:val="16"/>
              </w:rPr>
              <w:t>449 614 141,18</w:t>
            </w:r>
            <w:r w:rsidRPr="000B1D95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359 691 312,94</w:t>
            </w:r>
            <w:r w:rsidRPr="000B1D95">
              <w:rPr>
                <w:b/>
                <w:bCs/>
                <w:color w:val="000000"/>
                <w:sz w:val="16"/>
                <w:szCs w:val="16"/>
              </w:rPr>
              <w:t xml:space="preserve">   </w:t>
            </w:r>
          </w:p>
        </w:tc>
      </w:tr>
      <w:tr w:rsidR="00E924DD" w:rsidRPr="000B1D95" w:rsidTr="00BD768A">
        <w:trPr>
          <w:gridAfter w:val="3"/>
          <w:wAfter w:w="568" w:type="dxa"/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</w:p>
          <w:p w:rsidR="00E924DD" w:rsidRPr="000B1D95" w:rsidRDefault="00E924DD" w:rsidP="00BD768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Залоговая стоимость Имущества, приведенного в настоящем Приложении № 2, определяется исходя из балансовой (остаточной) стоимости Имущества без учета НДС, с применением дисконта 20 %</w:t>
            </w:r>
          </w:p>
        </w:tc>
      </w:tr>
      <w:tr w:rsidR="00E924DD" w:rsidRPr="000B1D95" w:rsidTr="00BD768A">
        <w:trPr>
          <w:gridAfter w:val="1"/>
          <w:wAfter w:w="6" w:type="dxa"/>
          <w:trHeight w:val="2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924DD" w:rsidRPr="000B1D95" w:rsidTr="00BD768A">
        <w:trPr>
          <w:gridAfter w:val="3"/>
          <w:wAfter w:w="568" w:type="dxa"/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За Залогодержателя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1D95">
              <w:rPr>
                <w:b/>
                <w:bCs/>
                <w:color w:val="000000"/>
                <w:sz w:val="16"/>
                <w:szCs w:val="16"/>
              </w:rPr>
              <w:t>За Залогодателя</w:t>
            </w:r>
          </w:p>
        </w:tc>
      </w:tr>
      <w:tr w:rsidR="00E924DD" w:rsidRPr="000B1D95" w:rsidTr="00BD768A">
        <w:trPr>
          <w:gridAfter w:val="3"/>
          <w:wAfter w:w="568" w:type="dxa"/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E924DD" w:rsidRPr="000B1D95" w:rsidTr="00BD768A">
        <w:trPr>
          <w:gridAfter w:val="3"/>
          <w:wAfter w:w="568" w:type="dxa"/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Директор Департамента сопровождения</w:t>
            </w:r>
          </w:p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кредитных операций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Доверенное лицо</w:t>
            </w:r>
          </w:p>
        </w:tc>
      </w:tr>
      <w:tr w:rsidR="00E924DD" w:rsidRPr="000B1D95" w:rsidTr="00BD768A">
        <w:trPr>
          <w:gridAfter w:val="3"/>
          <w:wAfter w:w="568" w:type="dxa"/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</w:tr>
      <w:tr w:rsidR="00E924DD" w:rsidRPr="000B1D95" w:rsidTr="00BD768A">
        <w:trPr>
          <w:gridAfter w:val="1"/>
          <w:wAfter w:w="6" w:type="dxa"/>
          <w:trHeight w:val="76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</w:p>
        </w:tc>
      </w:tr>
      <w:tr w:rsidR="00E924DD" w:rsidRPr="000B1D95" w:rsidTr="00BD768A">
        <w:trPr>
          <w:gridAfter w:val="3"/>
          <w:wAfter w:w="568" w:type="dxa"/>
          <w:trHeight w:val="4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 xml:space="preserve">        ______________________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_______________________</w:t>
            </w:r>
          </w:p>
        </w:tc>
      </w:tr>
      <w:tr w:rsidR="00E924DD" w:rsidRPr="000B1D95" w:rsidTr="00BD768A">
        <w:trPr>
          <w:gridAfter w:val="3"/>
          <w:wAfter w:w="568" w:type="dxa"/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  <w:r w:rsidRPr="000B1D95">
              <w:rPr>
                <w:color w:val="000000"/>
                <w:sz w:val="16"/>
                <w:szCs w:val="16"/>
              </w:rPr>
              <w:t>Логинов И.Н.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sz w:val="16"/>
                <w:szCs w:val="16"/>
              </w:rPr>
            </w:pPr>
            <w:r w:rsidRPr="000B1D95">
              <w:rPr>
                <w:sz w:val="16"/>
                <w:szCs w:val="16"/>
              </w:rPr>
              <w:t>Саттаров С.Г.</w:t>
            </w:r>
          </w:p>
        </w:tc>
      </w:tr>
      <w:tr w:rsidR="00E924DD" w:rsidRPr="000B1D95" w:rsidTr="00BD768A">
        <w:trPr>
          <w:gridAfter w:val="3"/>
          <w:wAfter w:w="568" w:type="dxa"/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Default="00E924DD" w:rsidP="00BD768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24DD" w:rsidRPr="000B1D95" w:rsidRDefault="00E924DD" w:rsidP="00BD768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E924DD" w:rsidRDefault="00E924DD" w:rsidP="00E924DD">
      <w:pPr>
        <w:ind w:left="5954"/>
        <w:rPr>
          <w:szCs w:val="28"/>
        </w:rPr>
      </w:pPr>
    </w:p>
    <w:p w:rsidR="00DF6BBF" w:rsidRPr="00E924DD" w:rsidRDefault="00DF6BBF" w:rsidP="00E924DD"/>
    <w:sectPr w:rsidR="00DF6BBF" w:rsidRPr="00E924DD" w:rsidSect="00DC47C9">
      <w:headerReference w:type="default" r:id="rId5"/>
      <w:pgSz w:w="11906" w:h="16838" w:code="9"/>
      <w:pgMar w:top="709" w:right="707" w:bottom="709" w:left="1418" w:header="425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761" w:rsidRPr="00FC74D1" w:rsidRDefault="00131ABE">
    <w:pPr>
      <w:pStyle w:val="a7"/>
      <w:jc w:val="center"/>
      <w:rPr>
        <w:sz w:val="22"/>
        <w:szCs w:val="22"/>
      </w:rPr>
    </w:pPr>
    <w:r w:rsidRPr="00FC74D1">
      <w:rPr>
        <w:sz w:val="22"/>
        <w:szCs w:val="22"/>
      </w:rPr>
      <w:fldChar w:fldCharType="begin"/>
    </w:r>
    <w:r w:rsidRPr="00FC74D1">
      <w:rPr>
        <w:sz w:val="22"/>
        <w:szCs w:val="22"/>
      </w:rPr>
      <w:instrText>PAGE   \* MERGEFORMAT</w:instrText>
    </w:r>
    <w:r w:rsidRPr="00FC74D1">
      <w:rPr>
        <w:sz w:val="22"/>
        <w:szCs w:val="22"/>
      </w:rPr>
      <w:fldChar w:fldCharType="separate"/>
    </w:r>
    <w:r w:rsidR="00E924DD">
      <w:rPr>
        <w:noProof/>
        <w:sz w:val="22"/>
        <w:szCs w:val="22"/>
      </w:rPr>
      <w:t>2</w:t>
    </w:r>
    <w:r w:rsidRPr="00FC74D1">
      <w:rPr>
        <w:sz w:val="22"/>
        <w:szCs w:val="22"/>
      </w:rPr>
      <w:fldChar w:fldCharType="end"/>
    </w:r>
  </w:p>
  <w:p w:rsidR="009B1761" w:rsidRDefault="00131ABE">
    <w:pPr>
      <w:pStyle w:val="a7"/>
      <w:jc w:val="center"/>
      <w:rPr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6746"/>
    <w:multiLevelType w:val="hybridMultilevel"/>
    <w:tmpl w:val="B0B20FF2"/>
    <w:lvl w:ilvl="0" w:tplc="E23E28C0">
      <w:start w:val="1"/>
      <w:numFmt w:val="decimal"/>
      <w:lvlText w:val="%1."/>
      <w:lvlJc w:val="left"/>
      <w:pPr>
        <w:ind w:left="0" w:firstLine="49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902"/>
    <w:rsid w:val="00427968"/>
    <w:rsid w:val="00BB1902"/>
    <w:rsid w:val="00DF6BBF"/>
    <w:rsid w:val="00E92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9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B1902"/>
    <w:pPr>
      <w:keepNext/>
      <w:jc w:val="center"/>
      <w:outlineLvl w:val="3"/>
    </w:pPr>
    <w:rPr>
      <w:b/>
      <w:bCs/>
      <w:i/>
      <w:color w:val="80808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B1902"/>
    <w:rPr>
      <w:rFonts w:ascii="Times New Roman" w:eastAsia="Times New Roman" w:hAnsi="Times New Roman" w:cs="Times New Roman"/>
      <w:b/>
      <w:bCs/>
      <w:i/>
      <w:color w:val="808080"/>
      <w:sz w:val="16"/>
      <w:szCs w:val="24"/>
      <w:lang w:eastAsia="ru-RU"/>
    </w:rPr>
  </w:style>
  <w:style w:type="paragraph" w:styleId="a3">
    <w:name w:val="Body Text"/>
    <w:basedOn w:val="a"/>
    <w:link w:val="a4"/>
    <w:unhideWhenUsed/>
    <w:rsid w:val="00BB1902"/>
    <w:pPr>
      <w:spacing w:after="120"/>
    </w:pPr>
  </w:style>
  <w:style w:type="character" w:customStyle="1" w:styleId="a4">
    <w:name w:val="Основной текст Знак"/>
    <w:basedOn w:val="a0"/>
    <w:link w:val="a3"/>
    <w:rsid w:val="00BB190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nhideWhenUsed/>
    <w:rsid w:val="00BB190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B19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E924DD"/>
    <w:pPr>
      <w:tabs>
        <w:tab w:val="center" w:pos="4677"/>
        <w:tab w:val="right" w:pos="9355"/>
      </w:tabs>
    </w:pPr>
    <w:rPr>
      <w:sz w:val="28"/>
      <w:lang/>
    </w:rPr>
  </w:style>
  <w:style w:type="character" w:customStyle="1" w:styleId="a8">
    <w:name w:val="Верхний колонтитул Знак"/>
    <w:basedOn w:val="a0"/>
    <w:link w:val="a7"/>
    <w:rsid w:val="00E924DD"/>
    <w:rPr>
      <w:rFonts w:ascii="Times New Roman" w:eastAsia="Times New Roman" w:hAnsi="Times New Roman" w:cs="Times New Roman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1821</Words>
  <Characters>10381</Characters>
  <Application>Microsoft Office Word</Application>
  <DocSecurity>0</DocSecurity>
  <Lines>86</Lines>
  <Paragraphs>24</Paragraphs>
  <ScaleCrop>false</ScaleCrop>
  <Company/>
  <LinksUpToDate>false</LinksUpToDate>
  <CharactersWithSpaces>12178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kuznetsovaev</dc:creator>
  <cp:lastModifiedBy>kuznetsovaev</cp:lastModifiedBy>
  <cp:revision>2</cp:revision>
  <dcterms:created xsi:type="dcterms:W3CDTF">2014-10-27T11:42:00Z</dcterms:created>
  <dcterms:modified xsi:type="dcterms:W3CDTF">2014-10-27T11:50:00Z</dcterms:modified>
</cp:coreProperties>
</file>