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4F19B0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360054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F19B0" w:rsidRDefault="004F19B0" w:rsidP="004F19B0">
            <w:pPr>
              <w:ind w:firstLine="472"/>
              <w:jc w:val="both"/>
              <w:rPr>
                <w:b/>
                <w:bCs/>
                <w:sz w:val="22"/>
                <w:u w:val="single"/>
              </w:rPr>
            </w:pPr>
          </w:p>
          <w:p w:rsidR="00360054" w:rsidRDefault="00170534" w:rsidP="004F19B0">
            <w:pPr>
              <w:ind w:firstLine="472"/>
              <w:jc w:val="both"/>
              <w:rPr>
                <w:b/>
                <w:bCs/>
                <w:sz w:val="22"/>
              </w:rPr>
            </w:pPr>
            <w:r w:rsidRPr="00360054">
              <w:rPr>
                <w:b/>
                <w:bCs/>
                <w:sz w:val="22"/>
                <w:szCs w:val="22"/>
                <w:u w:val="single"/>
              </w:rPr>
              <w:t xml:space="preserve">Вопрос повестки дня № </w:t>
            </w:r>
            <w:r w:rsidR="00623BA9">
              <w:rPr>
                <w:b/>
                <w:bCs/>
                <w:sz w:val="22"/>
                <w:szCs w:val="22"/>
                <w:u w:val="single"/>
              </w:rPr>
              <w:t>1</w:t>
            </w:r>
            <w:r w:rsidR="004F19B0">
              <w:rPr>
                <w:b/>
                <w:bCs/>
                <w:sz w:val="22"/>
                <w:szCs w:val="22"/>
                <w:u w:val="single"/>
              </w:rPr>
              <w:t>1</w:t>
            </w:r>
            <w:r w:rsidRPr="00360054">
              <w:rPr>
                <w:b/>
                <w:bCs/>
                <w:sz w:val="22"/>
                <w:szCs w:val="22"/>
                <w:u w:val="single"/>
              </w:rPr>
              <w:t>:</w:t>
            </w:r>
            <w:r w:rsidRPr="00360054">
              <w:rPr>
                <w:b/>
                <w:bCs/>
                <w:sz w:val="22"/>
                <w:szCs w:val="22"/>
              </w:rPr>
              <w:t xml:space="preserve"> </w:t>
            </w:r>
            <w:r w:rsidR="004F19B0" w:rsidRPr="004F19B0">
              <w:rPr>
                <w:b/>
                <w:bCs/>
                <w:sz w:val="22"/>
                <w:szCs w:val="22"/>
              </w:rPr>
              <w:t>Об одобрении сделки по привлечению ОАО «КАМАЗ» кредита, обеспечиваемого государственной гарантией Российской Федерации, предоставляемого ОАО Банк ВТБ, в совершении которой имеется заинтересованность, в соответствии с пунктом 9.20.15 Устава ОАО «КАМАЗ»</w:t>
            </w:r>
          </w:p>
          <w:p w:rsidR="004F19B0" w:rsidRPr="00360054" w:rsidRDefault="004F19B0" w:rsidP="004F19B0">
            <w:pPr>
              <w:ind w:firstLine="472"/>
              <w:jc w:val="both"/>
              <w:rPr>
                <w:color w:val="000000"/>
                <w:sz w:val="22"/>
              </w:rPr>
            </w:pPr>
          </w:p>
        </w:tc>
      </w:tr>
      <w:tr w:rsidR="00170534" w:rsidRPr="00B81437" w:rsidTr="004F6F77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360054" w:rsidRDefault="00170534" w:rsidP="004357A7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2"/>
                <w:u w:val="double"/>
                <w:shd w:val="clear" w:color="auto" w:fill="FFFFFF"/>
              </w:rPr>
            </w:pPr>
            <w:r w:rsidRPr="00360054">
              <w:rPr>
                <w:b/>
                <w:bCs/>
                <w:i/>
                <w:iCs/>
                <w:sz w:val="22"/>
                <w:szCs w:val="22"/>
                <w:u w:val="double"/>
                <w:shd w:val="clear" w:color="auto" w:fill="FFFFFF"/>
              </w:rPr>
              <w:t>Формулировка решения:</w:t>
            </w:r>
          </w:p>
          <w:p w:rsidR="00360054" w:rsidRPr="004F19B0" w:rsidRDefault="002C6B99" w:rsidP="00623BA9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2C6B99">
              <w:rPr>
                <w:bCs/>
                <w:sz w:val="24"/>
              </w:rPr>
              <w:t>Одобрить сделку по привлечению ОАО «КАМАЗ» кредита, обеспечиваемого государственной гарантией Российской Федерации, предоставляемого ОАО Банк ВТБ (далее – кредит), в совершении которой имеется заинтересованность, на общую предельную су</w:t>
            </w:r>
            <w:bookmarkStart w:id="0" w:name="_GoBack"/>
            <w:bookmarkEnd w:id="0"/>
            <w:r w:rsidRPr="002C6B99">
              <w:rPr>
                <w:bCs/>
                <w:sz w:val="24"/>
              </w:rPr>
              <w:t>мму основного долга до 1 601 626 000 рублей, с процентной ставкой в размере 9,75 процентов годовых, на общую сумму с учетом процентов 2 251 930 036 рублей, с предельным сроком кредита до 31 декабря 2018 года</w:t>
            </w:r>
            <w:r>
              <w:rPr>
                <w:bCs/>
                <w:sz w:val="24"/>
              </w:rPr>
              <w:t>.</w:t>
            </w:r>
          </w:p>
        </w:tc>
      </w:tr>
      <w:tr w:rsidR="0071360D" w:rsidRPr="00B81437" w:rsidTr="002105BD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71360D" w:rsidRPr="00170534" w:rsidRDefault="0071360D" w:rsidP="002105BD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71360D" w:rsidRPr="00B81437" w:rsidRDefault="0071360D" w:rsidP="0071360D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71360D" w:rsidRPr="00B81437" w:rsidTr="0071360D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rPr>
                <w:sz w:val="4"/>
              </w:rPr>
            </w:pPr>
          </w:p>
        </w:tc>
      </w:tr>
      <w:tr w:rsidR="0071360D" w:rsidRPr="00B81437" w:rsidTr="0071360D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71360D" w:rsidRPr="00F37667" w:rsidRDefault="0071360D" w:rsidP="002105BD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1360D" w:rsidRDefault="0071360D" w:rsidP="002105BD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71360D" w:rsidRPr="00F37667" w:rsidRDefault="0071360D" w:rsidP="002105BD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71360D" w:rsidRPr="00B81437" w:rsidTr="0071360D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2A4DF9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71360D" w:rsidRPr="00B81437" w:rsidTr="0071360D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1360D" w:rsidRPr="002A4DF9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71360D" w:rsidRPr="00B81437" w:rsidTr="0071360D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2A4DF9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71360D" w:rsidRPr="00B81437" w:rsidTr="0071360D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1360D" w:rsidRPr="002A4DF9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71360D" w:rsidRPr="00B81437" w:rsidTr="0071360D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2A4DF9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71360D" w:rsidRPr="00B81437" w:rsidTr="0071360D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1360D" w:rsidRDefault="0071360D" w:rsidP="002105BD">
            <w:pPr>
              <w:rPr>
                <w:sz w:val="22"/>
              </w:rPr>
            </w:pPr>
          </w:p>
          <w:p w:rsidR="0071360D" w:rsidRPr="00B81437" w:rsidRDefault="0071360D" w:rsidP="002105BD">
            <w:pPr>
              <w:rPr>
                <w:sz w:val="22"/>
              </w:rPr>
            </w:pPr>
          </w:p>
          <w:p w:rsidR="0071360D" w:rsidRPr="00B81437" w:rsidRDefault="0071360D" w:rsidP="002105BD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</w:tr>
      <w:tr w:rsidR="0071360D" w:rsidRPr="00B81437" w:rsidTr="0071360D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1360D" w:rsidRPr="00B81437" w:rsidRDefault="0071360D" w:rsidP="002105BD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71360D" w:rsidRPr="00B81437" w:rsidRDefault="0071360D" w:rsidP="002105BD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1360D" w:rsidRPr="00B81437" w:rsidRDefault="0071360D" w:rsidP="002105BD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71360D" w:rsidRPr="00B81437" w:rsidRDefault="0071360D" w:rsidP="002105BD">
            <w:pPr>
              <w:jc w:val="center"/>
              <w:rPr>
                <w:sz w:val="14"/>
              </w:rPr>
            </w:pPr>
          </w:p>
        </w:tc>
      </w:tr>
      <w:tr w:rsidR="0071360D" w:rsidRPr="00B81437" w:rsidTr="0071360D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71360D" w:rsidRPr="00B81437" w:rsidRDefault="0071360D" w:rsidP="002105BD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71360D" w:rsidRPr="00B81437" w:rsidTr="0071360D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1360D" w:rsidRPr="00B81437" w:rsidRDefault="0071360D" w:rsidP="002105BD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</w:tr>
      <w:tr w:rsidR="0071360D" w:rsidRPr="00B81437" w:rsidTr="0071360D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60D" w:rsidRDefault="0071360D" w:rsidP="002105BD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71360D" w:rsidRPr="00B81437" w:rsidRDefault="0071360D" w:rsidP="002105BD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  <w:tr w:rsidR="0071360D" w:rsidRPr="00B81437" w:rsidTr="0071360D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1360D" w:rsidRDefault="0071360D" w:rsidP="002105BD">
            <w:pPr>
              <w:ind w:firstLine="472"/>
              <w:jc w:val="both"/>
              <w:rPr>
                <w:b/>
                <w:bCs/>
                <w:sz w:val="22"/>
                <w:u w:val="single"/>
              </w:rPr>
            </w:pPr>
          </w:p>
          <w:p w:rsidR="0071360D" w:rsidRDefault="0071360D" w:rsidP="002105BD">
            <w:pPr>
              <w:ind w:firstLine="472"/>
              <w:jc w:val="both"/>
              <w:rPr>
                <w:b/>
                <w:bCs/>
                <w:sz w:val="22"/>
              </w:rPr>
            </w:pPr>
            <w:r w:rsidRPr="00360054">
              <w:rPr>
                <w:b/>
                <w:bCs/>
                <w:sz w:val="22"/>
                <w:szCs w:val="22"/>
                <w:u w:val="single"/>
              </w:rPr>
              <w:t xml:space="preserve">Вопрос повестки дня № </w:t>
            </w:r>
            <w:r>
              <w:rPr>
                <w:b/>
                <w:bCs/>
                <w:sz w:val="22"/>
                <w:szCs w:val="22"/>
                <w:u w:val="single"/>
              </w:rPr>
              <w:t>12</w:t>
            </w:r>
            <w:r w:rsidRPr="00360054">
              <w:rPr>
                <w:b/>
                <w:bCs/>
                <w:sz w:val="22"/>
                <w:szCs w:val="22"/>
                <w:u w:val="single"/>
              </w:rPr>
              <w:t>:</w:t>
            </w:r>
            <w:r w:rsidRPr="00360054">
              <w:rPr>
                <w:b/>
                <w:bCs/>
                <w:sz w:val="22"/>
                <w:szCs w:val="22"/>
              </w:rPr>
              <w:t xml:space="preserve"> </w:t>
            </w:r>
            <w:r w:rsidRPr="004F19B0">
              <w:rPr>
                <w:b/>
                <w:bCs/>
                <w:sz w:val="22"/>
                <w:szCs w:val="22"/>
              </w:rPr>
              <w:t>Об одобрении Дополнения № 9 к Договору залога движимого имущества от 30 августа 2011 года № 110200/1103-ДЗ/2 между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заинтересованность, в соответствии с пунктом 9.20.15 Устава ОАО «КАМАЗ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  <w:p w:rsidR="0071360D" w:rsidRPr="004F19B0" w:rsidRDefault="0071360D" w:rsidP="002105BD">
            <w:pPr>
              <w:ind w:firstLine="472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71360D" w:rsidRPr="00B81437" w:rsidTr="0071360D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60D" w:rsidRPr="00360054" w:rsidRDefault="0071360D" w:rsidP="002105BD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2"/>
                <w:u w:val="double"/>
                <w:shd w:val="clear" w:color="auto" w:fill="FFFFFF"/>
              </w:rPr>
            </w:pPr>
            <w:r w:rsidRPr="00360054">
              <w:rPr>
                <w:b/>
                <w:bCs/>
                <w:i/>
                <w:iCs/>
                <w:sz w:val="22"/>
                <w:szCs w:val="22"/>
                <w:u w:val="double"/>
                <w:shd w:val="clear" w:color="auto" w:fill="FFFFFF"/>
              </w:rPr>
              <w:t>Формулировка решения:</w:t>
            </w:r>
          </w:p>
          <w:p w:rsidR="0071360D" w:rsidRPr="004F19B0" w:rsidRDefault="001921D4" w:rsidP="0071360D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921D4">
              <w:rPr>
                <w:bCs/>
                <w:sz w:val="24"/>
              </w:rPr>
              <w:t>Одобрить заключение Дополнения № 9 к Договору залога движимого имущества от 30 августа 2011</w:t>
            </w:r>
            <w:r w:rsidR="0071360D" w:rsidRPr="004F19B0">
              <w:rPr>
                <w:bCs/>
                <w:sz w:val="24"/>
              </w:rPr>
              <w:t xml:space="preserve"> </w:t>
            </w:r>
          </w:p>
        </w:tc>
      </w:tr>
      <w:tr w:rsidR="0071360D" w:rsidRPr="00B81437" w:rsidTr="0071360D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921D4" w:rsidRPr="001921D4" w:rsidRDefault="001921D4" w:rsidP="001921D4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</w:rPr>
            </w:pPr>
            <w:r w:rsidRPr="001921D4">
              <w:rPr>
                <w:bCs/>
                <w:sz w:val="24"/>
              </w:rPr>
              <w:lastRenderedPageBreak/>
              <w:t>года № 110200/1103-ДЗ/2, как взаимосвязанную сделку, предметом которой является имущество, стоимость которого составляет более 2 (Двух) процентов балансовой стоимости активов ОАО «КАМАЗ», между Государственной корпорацией «Банк развития и внешнеэкономической деятельности (Внешэкономбанк)» и ОАО «КАМАЗ», как сделку, в совершении которой имеется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условиях в соответствии с перечнем изменений (Дополнение № 9) к Договору залога движимого имущества от 30 августа 2011 года № 110200/1103-ДЗ/2 между Государственной корпорацией «Банк развития и внешнеэкономической деятельности (Внешэкономбанк)» и ОАО «КАМАЗ» (приложение).</w:t>
            </w:r>
          </w:p>
          <w:p w:rsidR="0071360D" w:rsidRPr="00360054" w:rsidRDefault="001921D4" w:rsidP="001921D4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/>
                <w:bCs/>
                <w:i/>
                <w:iCs/>
                <w:sz w:val="22"/>
                <w:u w:val="double"/>
                <w:shd w:val="clear" w:color="auto" w:fill="FFFFFF"/>
              </w:rPr>
            </w:pPr>
            <w:r w:rsidRPr="001921D4">
              <w:rPr>
                <w:bCs/>
                <w:sz w:val="24"/>
              </w:rPr>
              <w:t>Поручить подписание Дополнения № 9 к Договору залога движимого имущества от 30 августа 2011 года № 110200/1103-ДЗ/2 между Государственной корпорацией «Банк развития и внешнеэкономической деятельности (Внешэкономбанк)» и ОАО «КАМАЗ» директору Департамента финансов ОАО «КАМАЗ» Саттарову Самату Гарафутдиновичу на основании выданной Генеральным директором ОАО «КАМАЗ» доверенности от 03 марта 2014 года №01/07-276</w:t>
            </w:r>
            <w:r>
              <w:rPr>
                <w:bCs/>
                <w:sz w:val="24"/>
              </w:rPr>
              <w:t>.</w:t>
            </w:r>
          </w:p>
        </w:tc>
      </w:tr>
      <w:tr w:rsidR="0071360D" w:rsidRPr="00B81437" w:rsidTr="0071360D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71360D" w:rsidRPr="00170534" w:rsidRDefault="0071360D" w:rsidP="002105BD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71360D" w:rsidRPr="00B81437" w:rsidRDefault="0071360D" w:rsidP="0071360D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71360D" w:rsidRPr="00B81437" w:rsidTr="002105BD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rPr>
                <w:sz w:val="4"/>
              </w:rPr>
            </w:pPr>
          </w:p>
        </w:tc>
      </w:tr>
      <w:tr w:rsidR="0071360D" w:rsidRPr="00B81437" w:rsidTr="002105BD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71360D" w:rsidRPr="00F37667" w:rsidRDefault="0071360D" w:rsidP="002105BD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1360D" w:rsidRDefault="0071360D" w:rsidP="002105BD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71360D" w:rsidRPr="00F37667" w:rsidRDefault="0071360D" w:rsidP="002105BD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71360D" w:rsidRPr="00B81437" w:rsidTr="002105BD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2A4DF9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71360D" w:rsidRPr="00B81437" w:rsidTr="002105BD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1360D" w:rsidRPr="002A4DF9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71360D" w:rsidRPr="00B81437" w:rsidTr="002105BD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2A4DF9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71360D" w:rsidRPr="00B81437" w:rsidTr="002105BD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1360D" w:rsidRPr="002A4DF9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71360D" w:rsidRPr="00B81437" w:rsidTr="002105BD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2A4DF9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71360D" w:rsidRPr="00B81437" w:rsidRDefault="0071360D" w:rsidP="002105BD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71360D" w:rsidRPr="00B81437" w:rsidTr="002105BD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1360D" w:rsidRDefault="0071360D" w:rsidP="002105BD">
            <w:pPr>
              <w:rPr>
                <w:sz w:val="22"/>
              </w:rPr>
            </w:pPr>
          </w:p>
          <w:p w:rsidR="0071360D" w:rsidRPr="00B81437" w:rsidRDefault="0071360D" w:rsidP="002105BD">
            <w:pPr>
              <w:rPr>
                <w:sz w:val="22"/>
              </w:rPr>
            </w:pPr>
          </w:p>
          <w:p w:rsidR="0071360D" w:rsidRPr="00B81437" w:rsidRDefault="0071360D" w:rsidP="002105BD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</w:tr>
      <w:tr w:rsidR="0071360D" w:rsidRPr="00B81437" w:rsidTr="002105BD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1360D" w:rsidRPr="00B81437" w:rsidRDefault="0071360D" w:rsidP="002105BD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71360D" w:rsidRPr="00B81437" w:rsidRDefault="0071360D" w:rsidP="002105BD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71360D" w:rsidRPr="00B81437" w:rsidRDefault="0071360D" w:rsidP="002105BD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71360D" w:rsidRPr="00B81437" w:rsidRDefault="0071360D" w:rsidP="002105BD">
            <w:pPr>
              <w:jc w:val="center"/>
              <w:rPr>
                <w:sz w:val="14"/>
              </w:rPr>
            </w:pPr>
          </w:p>
        </w:tc>
      </w:tr>
      <w:tr w:rsidR="0071360D" w:rsidRPr="00B81437" w:rsidTr="002105BD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71360D" w:rsidRPr="00B81437" w:rsidRDefault="0071360D" w:rsidP="002105BD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71360D" w:rsidRPr="00B81437" w:rsidTr="002105BD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1360D" w:rsidRPr="00B81437" w:rsidRDefault="0071360D" w:rsidP="002105BD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71360D" w:rsidRPr="00B81437" w:rsidRDefault="0071360D" w:rsidP="002105BD">
            <w:pPr>
              <w:rPr>
                <w:sz w:val="22"/>
              </w:rPr>
            </w:pPr>
          </w:p>
        </w:tc>
      </w:tr>
      <w:tr w:rsidR="0071360D" w:rsidRPr="00B81437" w:rsidTr="002105BD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1360D" w:rsidRDefault="0071360D" w:rsidP="002105BD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71360D" w:rsidRPr="00B81437" w:rsidRDefault="0071360D" w:rsidP="002105BD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71360D" w:rsidRPr="0071360D" w:rsidRDefault="0071360D" w:rsidP="0071360D">
      <w:pPr>
        <w:widowControl w:val="0"/>
        <w:autoSpaceDE w:val="0"/>
        <w:autoSpaceDN w:val="0"/>
        <w:adjustRightInd w:val="0"/>
        <w:spacing w:before="240"/>
        <w:ind w:left="-993" w:right="179" w:firstLine="426"/>
        <w:jc w:val="both"/>
        <w:rPr>
          <w:b/>
          <w:sz w:val="20"/>
          <w:szCs w:val="20"/>
        </w:rPr>
      </w:pPr>
      <w:r w:rsidRPr="0071360D">
        <w:rPr>
          <w:b/>
          <w:sz w:val="20"/>
          <w:szCs w:val="20"/>
        </w:rPr>
        <w:t>Разъяснения порядка голосования в соответствии с п. 2.19 Положения о дополнительных требованиях к порядку подготовки, созыва и проведения общего собрания акционеров, утвержденного приказом ФСФР от 2 февраля 2012 г. N 12-6/пз-н:</w:t>
      </w:r>
    </w:p>
    <w:p w:rsidR="0071360D" w:rsidRPr="0071360D" w:rsidRDefault="0071360D" w:rsidP="0071360D">
      <w:pPr>
        <w:autoSpaceDE w:val="0"/>
        <w:autoSpaceDN w:val="0"/>
        <w:adjustRightInd w:val="0"/>
        <w:ind w:left="-993" w:right="179" w:firstLine="426"/>
        <w:jc w:val="both"/>
        <w:rPr>
          <w:sz w:val="20"/>
          <w:szCs w:val="20"/>
        </w:rPr>
      </w:pPr>
      <w:r w:rsidRPr="0071360D">
        <w:rPr>
          <w:sz w:val="20"/>
          <w:szCs w:val="20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71360D" w:rsidRPr="0071360D" w:rsidRDefault="0071360D" w:rsidP="0071360D">
      <w:pPr>
        <w:autoSpaceDE w:val="0"/>
        <w:autoSpaceDN w:val="0"/>
        <w:adjustRightInd w:val="0"/>
        <w:ind w:left="-993" w:right="179" w:firstLine="426"/>
        <w:jc w:val="both"/>
        <w:rPr>
          <w:sz w:val="20"/>
          <w:szCs w:val="20"/>
        </w:rPr>
      </w:pPr>
      <w:proofErr w:type="gramStart"/>
      <w:r w:rsidRPr="0071360D">
        <w:rPr>
          <w:sz w:val="20"/>
          <w:szCs w:val="20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</w:t>
      </w:r>
      <w:proofErr w:type="gramEnd"/>
      <w:r w:rsidRPr="0071360D">
        <w:rPr>
          <w:sz w:val="20"/>
          <w:szCs w:val="20"/>
        </w:rPr>
        <w:t xml:space="preserve"> </w:t>
      </w:r>
      <w:proofErr w:type="gramStart"/>
      <w:r w:rsidRPr="0071360D">
        <w:rPr>
          <w:sz w:val="20"/>
          <w:szCs w:val="20"/>
        </w:rPr>
        <w:t>соответствии</w:t>
      </w:r>
      <w:proofErr w:type="gramEnd"/>
      <w:r w:rsidRPr="0071360D">
        <w:rPr>
          <w:sz w:val="20"/>
          <w:szCs w:val="20"/>
        </w:rPr>
        <w:t xml:space="preserve"> с указаниями владельцев депозитарных ценных бумаг;</w:t>
      </w:r>
    </w:p>
    <w:p w:rsidR="0071360D" w:rsidRPr="0071360D" w:rsidRDefault="0071360D" w:rsidP="0071360D">
      <w:pPr>
        <w:autoSpaceDE w:val="0"/>
        <w:autoSpaceDN w:val="0"/>
        <w:adjustRightInd w:val="0"/>
        <w:ind w:left="-993" w:right="179" w:firstLine="426"/>
        <w:jc w:val="both"/>
        <w:rPr>
          <w:sz w:val="20"/>
          <w:szCs w:val="20"/>
        </w:rPr>
      </w:pPr>
      <w:proofErr w:type="gramStart"/>
      <w:r w:rsidRPr="0071360D">
        <w:rPr>
          <w:sz w:val="20"/>
          <w:szCs w:val="20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71360D">
        <w:rPr>
          <w:sz w:val="20"/>
          <w:szCs w:val="20"/>
        </w:rPr>
        <w:t xml:space="preserve">, </w:t>
      </w:r>
      <w:proofErr w:type="gramStart"/>
      <w:r w:rsidRPr="0071360D">
        <w:rPr>
          <w:sz w:val="20"/>
          <w:szCs w:val="20"/>
        </w:rPr>
        <w:t>имеющих</w:t>
      </w:r>
      <w:proofErr w:type="gramEnd"/>
      <w:r w:rsidRPr="0071360D">
        <w:rPr>
          <w:sz w:val="20"/>
          <w:szCs w:val="20"/>
        </w:rPr>
        <w:t xml:space="preserve"> право на участие в общем собрании;</w:t>
      </w:r>
    </w:p>
    <w:p w:rsidR="0071360D" w:rsidRPr="0071360D" w:rsidRDefault="0071360D" w:rsidP="00575E76">
      <w:pPr>
        <w:ind w:left="-993" w:right="179" w:firstLine="426"/>
        <w:jc w:val="both"/>
        <w:rPr>
          <w:sz w:val="20"/>
          <w:szCs w:val="20"/>
        </w:rPr>
      </w:pPr>
      <w:r w:rsidRPr="0071360D">
        <w:rPr>
          <w:sz w:val="20"/>
          <w:szCs w:val="20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sectPr w:rsidR="0071360D" w:rsidRPr="0071360D" w:rsidSect="00C52252">
      <w:pgSz w:w="11906" w:h="16838"/>
      <w:pgMar w:top="1134" w:right="244" w:bottom="851" w:left="1560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534"/>
    <w:rsid w:val="0015414A"/>
    <w:rsid w:val="00170534"/>
    <w:rsid w:val="001921D4"/>
    <w:rsid w:val="001E78AC"/>
    <w:rsid w:val="002610FE"/>
    <w:rsid w:val="00276E55"/>
    <w:rsid w:val="00286C5B"/>
    <w:rsid w:val="002B263F"/>
    <w:rsid w:val="002C3B87"/>
    <w:rsid w:val="002C6B99"/>
    <w:rsid w:val="00360054"/>
    <w:rsid w:val="004357A7"/>
    <w:rsid w:val="00495DF7"/>
    <w:rsid w:val="004F19B0"/>
    <w:rsid w:val="004F6F77"/>
    <w:rsid w:val="00575E76"/>
    <w:rsid w:val="0060442E"/>
    <w:rsid w:val="006062AD"/>
    <w:rsid w:val="00623BA9"/>
    <w:rsid w:val="006322C1"/>
    <w:rsid w:val="00666036"/>
    <w:rsid w:val="00677511"/>
    <w:rsid w:val="0071360D"/>
    <w:rsid w:val="007830CC"/>
    <w:rsid w:val="0082606D"/>
    <w:rsid w:val="00843278"/>
    <w:rsid w:val="0086601E"/>
    <w:rsid w:val="008D41B9"/>
    <w:rsid w:val="009000F5"/>
    <w:rsid w:val="009B2590"/>
    <w:rsid w:val="00AE10C6"/>
    <w:rsid w:val="00AE3883"/>
    <w:rsid w:val="00B30999"/>
    <w:rsid w:val="00B61F20"/>
    <w:rsid w:val="00C52252"/>
    <w:rsid w:val="00CC7EE5"/>
    <w:rsid w:val="00CF47E2"/>
    <w:rsid w:val="00D621F7"/>
    <w:rsid w:val="00F45C85"/>
    <w:rsid w:val="00F67392"/>
    <w:rsid w:val="00FC0BC6"/>
    <w:rsid w:val="00F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990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5</cp:revision>
  <cp:lastPrinted>2014-10-20T11:26:00Z</cp:lastPrinted>
  <dcterms:created xsi:type="dcterms:W3CDTF">2014-10-27T10:54:00Z</dcterms:created>
  <dcterms:modified xsi:type="dcterms:W3CDTF">2014-10-30T11:36:00Z</dcterms:modified>
</cp:coreProperties>
</file>